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B00EA"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4F91F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44CA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D801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542F6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55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05E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微波消融系统</w:t>
            </w:r>
          </w:p>
        </w:tc>
      </w:tr>
      <w:tr w14:paraId="0E3A7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DB9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022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该产品适用于治疗肝肿瘤及甲状腺良性结节、用于对肺实体肿瘤进行消融治疗</w:t>
            </w:r>
          </w:p>
        </w:tc>
      </w:tr>
      <w:tr w14:paraId="1649C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DF9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41450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66782CEE">
            <w:pPr>
              <w:pStyle w:val="6"/>
              <w:ind w:firstLine="0" w:firstLineChars="0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具有消融治疗。输出功率：支持0-100W功率输出，且连续可调，工作模式：连续、间歇两种工作模式任选，两种模式互换可调。设备具有功率检测功能、带有冷却系统、消融针杆温监测及超温保护系统、旁开测温及超温保护系统、设备具有安全保护措施：驻波保护、功率误差保护、过温保护、过流保护、过压保护等。</w:t>
            </w:r>
          </w:p>
          <w:p w14:paraId="4061539D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14:paraId="4E3B0DDC">
            <w:pPr>
              <w:widowControl/>
              <w:ind w:left="680"/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14:paraId="507D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AD9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441BD">
            <w:pPr>
              <w:rPr>
                <w:rFonts w:ascii="宋体" w:hAnsi="宋体"/>
                <w:sz w:val="24"/>
                <w:szCs w:val="24"/>
              </w:rPr>
            </w:pPr>
          </w:p>
          <w:p w14:paraId="31228F50">
            <w:pPr>
              <w:rPr>
                <w:rFonts w:ascii="宋体" w:hAnsi="宋体"/>
                <w:sz w:val="24"/>
                <w:szCs w:val="24"/>
              </w:rPr>
            </w:pPr>
          </w:p>
          <w:p w14:paraId="19D521D6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5300F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B09B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64CEE5DF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F8D22">
            <w:pPr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sz w:val="28"/>
                <w:szCs w:val="28"/>
              </w:rPr>
              <w:t xml:space="preserve">配置清单: </w:t>
            </w:r>
          </w:p>
          <w:p w14:paraId="7B991CFD">
            <w:pPr>
              <w:rPr>
                <w:sz w:val="24"/>
              </w:rPr>
            </w:pPr>
            <w:r>
              <w:rPr>
                <w:rFonts w:hint="eastAsia" w:hAnsi="宋体" w:cs="宋体"/>
                <w:sz w:val="28"/>
                <w:szCs w:val="28"/>
              </w:rPr>
              <w:t>主机一台，脚踏开关一个</w:t>
            </w:r>
            <w:r>
              <w:rPr>
                <w:rFonts w:hAnsi="宋体" w:cs="宋体"/>
                <w:sz w:val="28"/>
                <w:szCs w:val="28"/>
              </w:rPr>
              <w:t>，</w:t>
            </w:r>
            <w:r>
              <w:rPr>
                <w:rFonts w:hint="eastAsia" w:hAnsi="宋体" w:cs="宋体"/>
                <w:sz w:val="28"/>
                <w:szCs w:val="28"/>
              </w:rPr>
              <w:t>挂水支架一个，射频连接电缆两条，电源线一条</w:t>
            </w:r>
            <w:r>
              <w:rPr>
                <w:rFonts w:hAnsi="宋体" w:cs="宋体"/>
                <w:sz w:val="28"/>
                <w:szCs w:val="28"/>
              </w:rPr>
              <w:t>。</w:t>
            </w:r>
          </w:p>
          <w:p w14:paraId="10190CB8">
            <w:pPr>
              <w:rPr>
                <w:sz w:val="24"/>
              </w:rPr>
            </w:pPr>
          </w:p>
          <w:p w14:paraId="34CDBFE1">
            <w:pPr>
              <w:pStyle w:val="6"/>
              <w:widowControl/>
              <w:ind w:firstLine="0" w:firstLineChars="0"/>
              <w:jc w:val="left"/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sz w:val="28"/>
                <w:szCs w:val="28"/>
              </w:rPr>
              <w:t>水循环冷却系统      1套</w:t>
            </w:r>
          </w:p>
          <w:p w14:paraId="263A97E0">
            <w:pPr>
              <w:pStyle w:val="6"/>
              <w:widowControl/>
              <w:ind w:firstLine="0" w:firstLineChars="0"/>
              <w:jc w:val="left"/>
              <w:rPr>
                <w:rFonts w:hAnsi="宋体" w:cs="宋体"/>
                <w:sz w:val="28"/>
                <w:szCs w:val="28"/>
              </w:rPr>
            </w:pPr>
            <w:r>
              <w:rPr>
                <w:rFonts w:hint="eastAsia" w:hAnsi="宋体" w:cs="宋体"/>
                <w:sz w:val="28"/>
                <w:szCs w:val="28"/>
              </w:rPr>
              <w:t>微波输出系统        1套</w:t>
            </w:r>
          </w:p>
          <w:p w14:paraId="06090288">
            <w:pPr>
              <w:rPr>
                <w:sz w:val="24"/>
              </w:rPr>
            </w:pPr>
          </w:p>
        </w:tc>
      </w:tr>
      <w:tr w14:paraId="0BE85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A14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9D7C9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1.设备使用期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Arial" w:hAnsi="Arial" w:cs="Arial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年，设备的生产日期和合同签订的时间间隔不大于6个月。</w:t>
            </w:r>
          </w:p>
          <w:p w14:paraId="4CFB8E7D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bookmarkStart w:id="0" w:name="OLE_LINK3"/>
            <w:bookmarkStart w:id="1" w:name="OLE_LINK4"/>
            <w:bookmarkStart w:id="2" w:name="OLE_LINK5"/>
            <w:bookmarkStart w:id="3" w:name="OLE_LINK2"/>
            <w:r>
              <w:rPr>
                <w:rFonts w:hint="eastAsia" w:ascii="宋体" w:hAnsi="宋体"/>
                <w:sz w:val="24"/>
                <w:szCs w:val="24"/>
              </w:rPr>
              <w:t>整机免费质保</w:t>
            </w:r>
            <w:r>
              <w:rPr>
                <w:rFonts w:ascii="Arial" w:hAnsi="Arial" w:cs="Arial"/>
                <w:sz w:val="24"/>
                <w:szCs w:val="24"/>
              </w:rPr>
              <w:t>≥</w:t>
            </w:r>
            <w:r>
              <w:rPr>
                <w:rFonts w:hint="eastAsia" w:ascii="宋体" w:hAnsi="宋体"/>
                <w:sz w:val="24"/>
                <w:szCs w:val="24"/>
              </w:rPr>
              <w:t>3年；设备设计使用的耗材必须为开放的耗材，并提供阳光网能点配价格，验收时提供三个以上厂家的耗材使用进行验收。</w:t>
            </w:r>
          </w:p>
          <w:p w14:paraId="4D103409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sz w:val="24"/>
                <w:szCs w:val="24"/>
              </w:rPr>
              <w:t>供货时应同时附上中文使用说明书（包括纸质版和电子版）。</w:t>
            </w:r>
          </w:p>
          <w:p w14:paraId="492F4983">
            <w:pPr>
              <w:spacing w:line="120" w:lineRule="auto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sz w:val="24"/>
                <w:szCs w:val="24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30CE0D6E">
            <w:pPr>
              <w:jc w:val="left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32B7940A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6．在广西省内设有办事处，配备售后服务工程师，定期巡检培训；</w:t>
            </w:r>
          </w:p>
          <w:p w14:paraId="465F9BCD">
            <w:pPr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7．产品零配件国内供应及时；设备主机保修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年；终身维护；</w:t>
            </w:r>
          </w:p>
          <w:p w14:paraId="7332C0BA">
            <w:pPr>
              <w:jc w:val="left"/>
              <w:rPr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8．维修响应时间：2小时响应，48小时未解决问题提供备用机使用。</w:t>
            </w:r>
          </w:p>
          <w:p w14:paraId="05DC094B">
            <w:pPr>
              <w:jc w:val="center"/>
              <w:rPr>
                <w:sz w:val="24"/>
              </w:rPr>
            </w:pPr>
          </w:p>
        </w:tc>
      </w:tr>
    </w:tbl>
    <w:p w14:paraId="7ABC034B">
      <w:pPr>
        <w:pStyle w:val="2"/>
        <w:rPr>
          <w:rFonts w:hint="eastAsia" w:ascii="Times New Roman" w:hAnsi="Times New Roman" w:cs="Times New Roman"/>
          <w:sz w:val="28"/>
          <w:szCs w:val="28"/>
        </w:rPr>
      </w:pPr>
    </w:p>
    <w:p w14:paraId="7A6E35FE">
      <w:pPr>
        <w:pStyle w:val="2"/>
        <w:rPr>
          <w:rFonts w:ascii="Times New Roman" w:hAnsi="Times New Roman" w:cs="Times New Roman"/>
          <w:sz w:val="28"/>
          <w:szCs w:val="28"/>
        </w:rPr>
      </w:pPr>
      <w:bookmarkStart w:id="6" w:name="_GoBack"/>
      <w:bookmarkEnd w:id="6"/>
      <w:r>
        <w:rPr>
          <w:rFonts w:hint="eastAsia" w:ascii="Times New Roman" w:hAnsi="Times New Roman" w:cs="Times New Roman"/>
          <w:sz w:val="28"/>
          <w:szCs w:val="28"/>
        </w:rPr>
        <w:t>三、配件</w:t>
      </w:r>
    </w:p>
    <w:p w14:paraId="449E5260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0320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290FAD5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序号</w:t>
            </w:r>
          </w:p>
        </w:tc>
        <w:tc>
          <w:tcPr>
            <w:tcW w:w="2521" w:type="dxa"/>
            <w:vAlign w:val="center"/>
          </w:tcPr>
          <w:p w14:paraId="3779DDD5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0295EC3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2C344D53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6391FA6B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年合计费用（元）</w:t>
            </w:r>
          </w:p>
        </w:tc>
      </w:tr>
      <w:tr w14:paraId="54C16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98BAB09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21" w:type="dxa"/>
          </w:tcPr>
          <w:p w14:paraId="522A0A3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42FA53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C1DC4D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4823849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CBBB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E502E1C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1" w:type="dxa"/>
          </w:tcPr>
          <w:p w14:paraId="77E523A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8180205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B0AA591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7B10BDC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9C8A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7C566C5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21" w:type="dxa"/>
          </w:tcPr>
          <w:p w14:paraId="4BB382E6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74E5F0D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98F830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1D990D3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B972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B91AE24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21" w:type="dxa"/>
          </w:tcPr>
          <w:p w14:paraId="6BD1324C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929C06C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02E02F0E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B0A7B1F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E02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96A7557">
            <w:pPr>
              <w:pStyle w:val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</w:rPr>
              <w:t>……</w:t>
            </w:r>
          </w:p>
        </w:tc>
        <w:tc>
          <w:tcPr>
            <w:tcW w:w="2521" w:type="dxa"/>
          </w:tcPr>
          <w:p w14:paraId="2A86CFCE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31FF54F4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5CAF2FAA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2808771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B13D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5093E19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合计</w:t>
            </w:r>
          </w:p>
        </w:tc>
        <w:tc>
          <w:tcPr>
            <w:tcW w:w="2521" w:type="dxa"/>
          </w:tcPr>
          <w:p w14:paraId="47C213F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1A3E77DB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4AE2E1A6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4" w:type="dxa"/>
          </w:tcPr>
          <w:p w14:paraId="67155620">
            <w:pPr>
              <w:pStyle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47F531">
      <w:pPr>
        <w:rPr>
          <w:b/>
          <w:bCs/>
          <w:color w:val="C00000"/>
          <w:sz w:val="28"/>
          <w:szCs w:val="28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44E8D8BC">
      <w:pPr>
        <w:pStyle w:val="2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38D44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55846A5E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012A8B93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1BA90805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5F6977BB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4D77E980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4AD52D3A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53DE1384">
            <w:pPr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54A9A6B7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0A46656C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3CFD3F56">
            <w:pPr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阳光网成交价格</w:t>
            </w:r>
          </w:p>
        </w:tc>
      </w:tr>
      <w:tr w14:paraId="24578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604A2DF8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2876D228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147F7FEF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339C0268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487F29F1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48266A37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0F517420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202F1B4E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58B4B890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18A1B1AF">
            <w:pPr>
              <w:rPr>
                <w:rFonts w:ascii="宋体" w:hAnsi="宋体" w:cs="宋体"/>
              </w:rPr>
            </w:pPr>
          </w:p>
        </w:tc>
      </w:tr>
      <w:tr w14:paraId="407F4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4A80940B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0714EB1E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7999121E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7BADE25E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1EF89C36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25F11D1B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79A7D85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EA3A407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3386DD4B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29D8F84E">
            <w:pPr>
              <w:rPr>
                <w:rFonts w:ascii="宋体" w:hAnsi="宋体" w:cs="宋体"/>
              </w:rPr>
            </w:pPr>
          </w:p>
        </w:tc>
      </w:tr>
      <w:tr w14:paraId="2D3C7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74053AF7">
            <w:pPr>
              <w:rPr>
                <w:rFonts w:ascii="宋体" w:hAnsi="宋体" w:cs="宋体"/>
              </w:rPr>
            </w:pPr>
          </w:p>
        </w:tc>
        <w:tc>
          <w:tcPr>
            <w:tcW w:w="996" w:type="dxa"/>
            <w:vAlign w:val="center"/>
          </w:tcPr>
          <w:p w14:paraId="5A8A6B39">
            <w:pPr>
              <w:rPr>
                <w:rFonts w:ascii="宋体" w:hAnsi="宋体" w:cs="宋体"/>
              </w:rPr>
            </w:pPr>
          </w:p>
        </w:tc>
        <w:tc>
          <w:tcPr>
            <w:tcW w:w="683" w:type="dxa"/>
            <w:vAlign w:val="center"/>
          </w:tcPr>
          <w:p w14:paraId="536CABBF">
            <w:pPr>
              <w:rPr>
                <w:rFonts w:ascii="宋体" w:hAnsi="宋体" w:cs="宋体"/>
              </w:rPr>
            </w:pPr>
          </w:p>
        </w:tc>
        <w:tc>
          <w:tcPr>
            <w:tcW w:w="839" w:type="dxa"/>
            <w:vAlign w:val="center"/>
          </w:tcPr>
          <w:p w14:paraId="4D71111A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6CD4EBA0">
            <w:pPr>
              <w:rPr>
                <w:rFonts w:ascii="宋体" w:hAnsi="宋体" w:cs="宋体"/>
              </w:rPr>
            </w:pPr>
          </w:p>
        </w:tc>
        <w:tc>
          <w:tcPr>
            <w:tcW w:w="840" w:type="dxa"/>
            <w:vAlign w:val="center"/>
          </w:tcPr>
          <w:p w14:paraId="77FC6976">
            <w:pPr>
              <w:rPr>
                <w:rFonts w:ascii="宋体" w:hAnsi="宋体" w:cs="宋体"/>
              </w:rPr>
            </w:pPr>
          </w:p>
        </w:tc>
        <w:tc>
          <w:tcPr>
            <w:tcW w:w="849" w:type="dxa"/>
            <w:vAlign w:val="center"/>
          </w:tcPr>
          <w:p w14:paraId="542DF2D3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0AB23350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4C43BC8C">
            <w:pPr>
              <w:rPr>
                <w:rFonts w:ascii="宋体" w:hAnsi="宋体" w:cs="宋体"/>
              </w:rPr>
            </w:pPr>
          </w:p>
        </w:tc>
        <w:tc>
          <w:tcPr>
            <w:tcW w:w="836" w:type="dxa"/>
            <w:vAlign w:val="center"/>
          </w:tcPr>
          <w:p w14:paraId="67A14713">
            <w:pPr>
              <w:rPr>
                <w:rFonts w:ascii="宋体" w:hAnsi="宋体" w:cs="宋体"/>
              </w:rPr>
            </w:pPr>
          </w:p>
        </w:tc>
      </w:tr>
    </w:tbl>
    <w:p w14:paraId="3FF687F5">
      <w:pPr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</w:rPr>
        <w:t>（备注：此表由供应商填写，作为评标的重要依据。）</w:t>
      </w:r>
    </w:p>
    <w:p w14:paraId="2C3E52EE">
      <w:pPr>
        <w:spacing w:line="480" w:lineRule="auto"/>
        <w:rPr>
          <w:b/>
          <w:bCs/>
          <w:sz w:val="24"/>
          <w:szCs w:val="24"/>
        </w:rPr>
      </w:pPr>
    </w:p>
    <w:p w14:paraId="0CDDF37C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/>
          <w:sz w:val="24"/>
          <w:szCs w:val="24"/>
        </w:rPr>
        <w:t xml:space="preserve">                           </w:t>
      </w:r>
    </w:p>
    <w:p w14:paraId="2875D9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0C23D11"/>
    <w:rsid w:val="00C561B9"/>
    <w:rsid w:val="02A9380C"/>
    <w:rsid w:val="06A321EC"/>
    <w:rsid w:val="181A3A94"/>
    <w:rsid w:val="1F603D08"/>
    <w:rsid w:val="48B60321"/>
    <w:rsid w:val="52E61B8D"/>
    <w:rsid w:val="539F1B70"/>
    <w:rsid w:val="5C455D08"/>
    <w:rsid w:val="5E4D5D7D"/>
    <w:rsid w:val="69F0140A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1229</Words>
  <Characters>1361</Characters>
  <Lines>10</Lines>
  <Paragraphs>2</Paragraphs>
  <TotalTime>0</TotalTime>
  <ScaleCrop>false</ScaleCrop>
  <LinksUpToDate>false</LinksUpToDate>
  <CharactersWithSpaces>1426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2026-08-25T08:00:09Z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7C0C803FD82F4F67908A503517CD0530_13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