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Cs/>
          <w:sz w:val="28"/>
          <w:szCs w:val="28"/>
        </w:rPr>
      </w:pPr>
      <w:r>
        <w:rPr>
          <w:rFonts w:hint="eastAsia" w:ascii="宋体" w:hAnsi="宋体"/>
          <w:b/>
          <w:sz w:val="28"/>
          <w:szCs w:val="28"/>
        </w:rPr>
        <w:t>申购仪器设备的技术参数及配置要求</w:t>
      </w:r>
    </w:p>
    <w:tbl>
      <w:tblPr>
        <w:tblStyle w:val="3"/>
        <w:tblW w:w="91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7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2160" w:type="dxa"/>
            <w:tcBorders>
              <w:top w:val="single" w:color="auto" w:sz="4" w:space="0"/>
              <w:left w:val="single" w:color="auto" w:sz="4" w:space="0"/>
              <w:bottom w:val="single" w:color="auto" w:sz="4" w:space="0"/>
              <w:right w:val="single" w:color="auto" w:sz="4" w:space="0"/>
            </w:tcBorders>
            <w:noWrap/>
            <w:vAlign w:val="center"/>
          </w:tcPr>
          <w:p>
            <w:pPr>
              <w:jc w:val="center"/>
              <w:rPr>
                <w:sz w:val="28"/>
                <w:szCs w:val="28"/>
              </w:rPr>
            </w:pPr>
            <w:r>
              <w:rPr>
                <w:rFonts w:hint="eastAsia"/>
                <w:sz w:val="28"/>
                <w:szCs w:val="28"/>
              </w:rPr>
              <w:t>项目名称</w:t>
            </w:r>
          </w:p>
        </w:tc>
        <w:tc>
          <w:tcPr>
            <w:tcW w:w="7020" w:type="dxa"/>
            <w:tcBorders>
              <w:top w:val="single" w:color="auto" w:sz="4" w:space="0"/>
              <w:left w:val="single" w:color="auto" w:sz="4" w:space="0"/>
              <w:bottom w:val="single" w:color="auto" w:sz="4" w:space="0"/>
              <w:right w:val="single" w:color="auto" w:sz="4" w:space="0"/>
            </w:tcBorders>
            <w:noWrap/>
          </w:tcPr>
          <w:p>
            <w:pPr>
              <w:jc w:val="center"/>
              <w:rPr>
                <w:sz w:val="28"/>
                <w:szCs w:val="28"/>
              </w:rPr>
            </w:pPr>
            <w:r>
              <w:rPr>
                <w:rFonts w:hint="eastAsia"/>
                <w:sz w:val="28"/>
                <w:szCs w:val="28"/>
              </w:rPr>
              <w:t>项参数说明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160" w:type="dxa"/>
            <w:tcBorders>
              <w:top w:val="single" w:color="auto" w:sz="4" w:space="0"/>
              <w:left w:val="single" w:color="auto" w:sz="4" w:space="0"/>
              <w:bottom w:val="single" w:color="auto" w:sz="4" w:space="0"/>
              <w:right w:val="single" w:color="auto" w:sz="4" w:space="0"/>
            </w:tcBorders>
            <w:noWrap/>
            <w:vAlign w:val="center"/>
          </w:tcPr>
          <w:p>
            <w:pPr>
              <w:jc w:val="center"/>
              <w:rPr>
                <w:sz w:val="24"/>
              </w:rPr>
            </w:pPr>
            <w:r>
              <w:rPr>
                <w:rFonts w:hint="eastAsia"/>
                <w:sz w:val="24"/>
              </w:rPr>
              <w:t>申购设备名称</w:t>
            </w:r>
          </w:p>
        </w:tc>
        <w:tc>
          <w:tcPr>
            <w:tcW w:w="7020" w:type="dxa"/>
            <w:tcBorders>
              <w:top w:val="single" w:color="auto" w:sz="4" w:space="0"/>
              <w:left w:val="single" w:color="auto" w:sz="4" w:space="0"/>
              <w:bottom w:val="single" w:color="auto" w:sz="4" w:space="0"/>
              <w:right w:val="single" w:color="auto" w:sz="4" w:space="0"/>
            </w:tcBorders>
            <w:noWrap/>
            <w:vAlign w:val="center"/>
          </w:tcPr>
          <w:p>
            <w:pPr>
              <w:jc w:val="center"/>
              <w:rPr>
                <w:sz w:val="24"/>
              </w:rPr>
            </w:pPr>
            <w:r>
              <w:rPr>
                <w:rFonts w:hint="eastAsia"/>
                <w:sz w:val="24"/>
              </w:rPr>
              <w:t>腹腔镜下B超超声探头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2160" w:type="dxa"/>
            <w:tcBorders>
              <w:top w:val="single" w:color="auto" w:sz="4" w:space="0"/>
              <w:left w:val="single" w:color="auto" w:sz="4" w:space="0"/>
              <w:bottom w:val="single" w:color="auto" w:sz="4" w:space="0"/>
              <w:right w:val="single" w:color="auto" w:sz="4" w:space="0"/>
            </w:tcBorders>
            <w:noWrap/>
            <w:vAlign w:val="center"/>
          </w:tcPr>
          <w:p>
            <w:pPr>
              <w:jc w:val="center"/>
              <w:rPr>
                <w:sz w:val="24"/>
              </w:rPr>
            </w:pPr>
            <w:r>
              <w:rPr>
                <w:rFonts w:hint="eastAsia"/>
                <w:sz w:val="24"/>
              </w:rPr>
              <w:t>用途及适用人群</w:t>
            </w:r>
          </w:p>
        </w:tc>
        <w:tc>
          <w:tcPr>
            <w:tcW w:w="7020" w:type="dxa"/>
            <w:tcBorders>
              <w:top w:val="single" w:color="auto" w:sz="4" w:space="0"/>
              <w:left w:val="single" w:color="auto" w:sz="4" w:space="0"/>
              <w:bottom w:val="single" w:color="auto" w:sz="4" w:space="0"/>
              <w:right w:val="single" w:color="auto" w:sz="4" w:space="0"/>
            </w:tcBorders>
            <w:noWrap/>
          </w:tcPr>
          <w:p>
            <w:pPr>
              <w:rPr>
                <w:rFonts w:ascii="仿宋" w:hAnsi="仿宋" w:eastAsia="仿宋" w:cs="仿宋"/>
                <w:sz w:val="24"/>
                <w:szCs w:val="24"/>
              </w:rPr>
            </w:pPr>
            <w:r>
              <w:rPr>
                <w:rFonts w:hint="eastAsia" w:ascii="仿宋" w:hAnsi="仿宋" w:eastAsia="仿宋" w:cs="仿宋"/>
                <w:sz w:val="24"/>
                <w:szCs w:val="24"/>
              </w:rPr>
              <w:t>1.所有需要开腹肝肿瘤切除术的病人；2.腹部手术的病人包括胃癌、结直肠癌、妇科恶性肿瘤、肾恶性肿瘤术中需排除肝转移瘤的病人。3.可精准定位深部病灶、对肝脏进行精细诊断，提供肿块内部情况及周边血供，保护重要结构，在腹腔手术过程中高度贴合组织表面、清晰呈现脏器内部结构，提升微创的根治性与安全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2160" w:type="dxa"/>
            <w:tcBorders>
              <w:top w:val="single" w:color="auto" w:sz="4" w:space="0"/>
              <w:left w:val="single" w:color="auto" w:sz="4" w:space="0"/>
              <w:bottom w:val="single" w:color="auto" w:sz="4" w:space="0"/>
              <w:right w:val="single" w:color="auto" w:sz="4" w:space="0"/>
            </w:tcBorders>
            <w:noWrap/>
            <w:vAlign w:val="center"/>
          </w:tcPr>
          <w:p>
            <w:pPr>
              <w:jc w:val="center"/>
              <w:rPr>
                <w:sz w:val="24"/>
              </w:rPr>
            </w:pPr>
            <w:r>
              <w:rPr>
                <w:rFonts w:hint="eastAsia"/>
                <w:sz w:val="24"/>
              </w:rPr>
              <w:t>设备的功能要求</w:t>
            </w:r>
          </w:p>
        </w:tc>
        <w:tc>
          <w:tcPr>
            <w:tcW w:w="7020" w:type="dxa"/>
            <w:tcBorders>
              <w:top w:val="single" w:color="auto" w:sz="4" w:space="0"/>
              <w:left w:val="single" w:color="auto" w:sz="4" w:space="0"/>
              <w:bottom w:val="single" w:color="auto" w:sz="4" w:space="0"/>
              <w:right w:val="single" w:color="auto" w:sz="4" w:space="0"/>
            </w:tcBorders>
            <w:noWrap/>
          </w:tcPr>
          <w:p>
            <w:pPr>
              <w:widowControl/>
              <w:jc w:val="left"/>
              <w:rPr>
                <w:rFonts w:ascii="仿宋" w:hAnsi="仿宋" w:eastAsia="仿宋" w:cs="仿宋"/>
                <w:sz w:val="24"/>
                <w:szCs w:val="24"/>
              </w:rPr>
            </w:pPr>
            <w:r>
              <w:rPr>
                <w:rFonts w:hint="eastAsia" w:ascii="仿宋" w:hAnsi="仿宋" w:eastAsia="仿宋" w:cs="仿宋"/>
                <w:sz w:val="24"/>
                <w:szCs w:val="24"/>
              </w:rPr>
              <w:t>1.配置的开腹使用的术中超声探头（T字或I字型），频率4-16MHz，</w:t>
            </w:r>
            <w:r>
              <w:rPr>
                <w:rFonts w:ascii="仿宋" w:hAnsi="仿宋" w:eastAsia="仿宋" w:cs="仿宋"/>
                <w:sz w:val="24"/>
                <w:szCs w:val="24"/>
              </w:rPr>
              <w:t>扫描</w:t>
            </w:r>
            <w:r>
              <w:rPr>
                <w:rFonts w:hint="eastAsia" w:ascii="仿宋" w:hAnsi="仿宋" w:eastAsia="仿宋" w:cs="仿宋"/>
                <w:sz w:val="24"/>
                <w:szCs w:val="24"/>
              </w:rPr>
              <w:t>角</w:t>
            </w:r>
            <w:r>
              <w:rPr>
                <w:rFonts w:ascii="仿宋" w:hAnsi="仿宋" w:eastAsia="仿宋" w:cs="仿宋"/>
                <w:sz w:val="24"/>
                <w:szCs w:val="24"/>
              </w:rPr>
              <w:t>度≥</w:t>
            </w:r>
            <w:r>
              <w:rPr>
                <w:rFonts w:hint="eastAsia" w:ascii="仿宋" w:hAnsi="仿宋" w:eastAsia="仿宋" w:cs="仿宋"/>
                <w:sz w:val="24"/>
                <w:szCs w:val="24"/>
              </w:rPr>
              <w:t>40°探头在手术过程中高度贴合组织表面、清晰呈现脏器内部结构。</w:t>
            </w:r>
          </w:p>
          <w:p>
            <w:pPr>
              <w:widowControl/>
              <w:jc w:val="left"/>
              <w:rPr>
                <w:rFonts w:ascii="仿宋" w:hAnsi="仿宋" w:eastAsia="仿宋" w:cs="仿宋"/>
                <w:sz w:val="24"/>
                <w:szCs w:val="24"/>
              </w:rPr>
            </w:pPr>
            <w:r>
              <w:rPr>
                <w:rFonts w:hint="eastAsia" w:ascii="仿宋" w:hAnsi="仿宋" w:eastAsia="仿宋" w:cs="仿宋"/>
                <w:sz w:val="24"/>
                <w:szCs w:val="24"/>
              </w:rPr>
              <w:t>2.超声探头采用全新的高密度探头技术和全新的压电陶瓷材料，提高超声探头的转换效率。提高了信号的发射和接收的时序控制，配以特有的亚阵元技术，减少旁瓣伪像增强组织细微分辨力，同时相邻边界更为锐利分明。所有探头均可实现多段变频，完美呈现病理图像细节，增加临床诊断的准确性。</w:t>
            </w:r>
          </w:p>
          <w:p>
            <w:pPr>
              <w:widowControl/>
              <w:jc w:val="left"/>
              <w:rPr>
                <w:rFonts w:ascii="仿宋" w:hAnsi="仿宋" w:eastAsia="仿宋" w:cs="仿宋"/>
                <w:sz w:val="24"/>
                <w:szCs w:val="24"/>
              </w:rPr>
            </w:pPr>
            <w:r>
              <w:rPr>
                <w:rFonts w:hint="eastAsia" w:ascii="仿宋" w:hAnsi="仿宋" w:eastAsia="仿宋" w:cs="仿宋"/>
                <w:sz w:val="24"/>
                <w:szCs w:val="24"/>
              </w:rPr>
              <w:t>3.腹腔镜超声技术，融合了光学和超声学检查之所长。有助于对腹部疾病全面、更深入的认识，提高对疾病诊断和治疗的能力。能通过安装在腹腔镜探头上的超声装置直接检查腹腔内脏器，即能提供内脏表面 的病理结构，又能展现组织深层的结构的声学影像信息，为腹部疾病的准确诊断和治疗方案的确定提供依据。4.智能微血流捕捉技术，传统血流成像方式只能提取较强血流信号，新购置设备采用了智能微血流捕捉技术可以提取出隐藏在背景噪声中的弱血流信号，大大提高低速血流的敏感性，为临床提供更丰富的血流信息。</w:t>
            </w:r>
          </w:p>
          <w:p>
            <w:pPr>
              <w:widowControl/>
              <w:jc w:val="left"/>
              <w:rPr>
                <w:rFonts w:ascii="仿宋" w:hAnsi="仿宋" w:eastAsia="仿宋" w:cs="仿宋"/>
                <w:sz w:val="24"/>
                <w:szCs w:val="24"/>
              </w:rPr>
            </w:pPr>
            <w:r>
              <w:rPr>
                <w:rFonts w:hint="eastAsia" w:ascii="仿宋" w:hAnsi="仿宋" w:eastAsia="仿宋" w:cs="仿宋"/>
                <w:sz w:val="24"/>
                <w:szCs w:val="24"/>
              </w:rPr>
              <w:t>4.穿刺增强术可有效提高进针区图像分辨率，提高进针亮度，指示针尖位置，并可双幅实时对比显示，并支持波束偏转角度调节及指示，全面提高一次性穿刺的成功率。</w:t>
            </w:r>
          </w:p>
          <w:p>
            <w:pPr>
              <w:widowControl/>
              <w:jc w:val="left"/>
              <w:rPr>
                <w:rFonts w:ascii="仿宋" w:hAnsi="仿宋" w:eastAsia="仿宋" w:cs="仿宋"/>
                <w:sz w:val="28"/>
                <w:szCs w:val="28"/>
              </w:rPr>
            </w:pPr>
            <w:r>
              <w:rPr>
                <w:rFonts w:hint="eastAsia" w:ascii="仿宋" w:hAnsi="仿宋" w:eastAsia="仿宋" w:cs="仿宋"/>
                <w:sz w:val="24"/>
                <w:szCs w:val="24"/>
              </w:rPr>
              <w:t>5.能满足科室需求的国产B超机包括迈瑞、开立、汕超等。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trPr>
        <w:tc>
          <w:tcPr>
            <w:tcW w:w="2160" w:type="dxa"/>
            <w:tcBorders>
              <w:top w:val="single" w:color="auto" w:sz="4" w:space="0"/>
              <w:left w:val="single" w:color="auto" w:sz="4" w:space="0"/>
              <w:bottom w:val="single" w:color="auto" w:sz="4" w:space="0"/>
              <w:right w:val="single" w:color="auto" w:sz="4" w:space="0"/>
            </w:tcBorders>
            <w:noWrap/>
            <w:vAlign w:val="center"/>
          </w:tcPr>
          <w:p>
            <w:pPr>
              <w:jc w:val="center"/>
              <w:rPr>
                <w:sz w:val="24"/>
              </w:rPr>
            </w:pPr>
            <w:r>
              <w:rPr>
                <w:rFonts w:hint="eastAsia"/>
                <w:sz w:val="24"/>
              </w:rPr>
              <w:t>功能的技术指标及其他技术参数</w:t>
            </w:r>
          </w:p>
        </w:tc>
        <w:tc>
          <w:tcPr>
            <w:tcW w:w="7020" w:type="dxa"/>
            <w:tcBorders>
              <w:top w:val="single" w:color="auto" w:sz="4" w:space="0"/>
              <w:left w:val="single" w:color="auto" w:sz="4" w:space="0"/>
              <w:bottom w:val="single" w:color="auto" w:sz="4" w:space="0"/>
              <w:right w:val="single" w:color="auto" w:sz="4" w:space="0"/>
            </w:tcBorders>
            <w:noWrap/>
          </w:tcPr>
          <w:p>
            <w:pPr>
              <w:rPr>
                <w:sz w:val="24"/>
                <w:szCs w:val="32"/>
              </w:rPr>
            </w:pPr>
          </w:p>
          <w:p>
            <w:pP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2160" w:type="dxa"/>
            <w:tcBorders>
              <w:top w:val="single" w:color="auto" w:sz="4" w:space="0"/>
              <w:left w:val="single" w:color="auto" w:sz="4" w:space="0"/>
              <w:bottom w:val="single" w:color="auto" w:sz="4" w:space="0"/>
              <w:right w:val="single" w:color="auto" w:sz="4" w:space="0"/>
            </w:tcBorders>
            <w:noWrap/>
            <w:vAlign w:val="center"/>
          </w:tcPr>
          <w:p>
            <w:pPr>
              <w:jc w:val="center"/>
              <w:rPr>
                <w:sz w:val="24"/>
              </w:rPr>
            </w:pPr>
            <w:r>
              <w:rPr>
                <w:rFonts w:hint="eastAsia"/>
                <w:sz w:val="24"/>
              </w:rPr>
              <w:t>软、硬件的</w:t>
            </w:r>
          </w:p>
          <w:p>
            <w:pPr>
              <w:ind w:firstLine="360" w:firstLineChars="150"/>
              <w:jc w:val="center"/>
              <w:rPr>
                <w:sz w:val="24"/>
              </w:rPr>
            </w:pPr>
            <w:r>
              <w:rPr>
                <w:rFonts w:hint="eastAsia"/>
                <w:sz w:val="24"/>
              </w:rPr>
              <w:t>配置要求</w:t>
            </w:r>
          </w:p>
        </w:tc>
        <w:tc>
          <w:tcPr>
            <w:tcW w:w="7020" w:type="dxa"/>
            <w:tcBorders>
              <w:top w:val="single" w:color="auto" w:sz="4" w:space="0"/>
              <w:left w:val="single" w:color="auto" w:sz="4" w:space="0"/>
              <w:bottom w:val="single" w:color="auto" w:sz="4" w:space="0"/>
              <w:right w:val="single" w:color="auto" w:sz="4" w:space="0"/>
            </w:tcBorders>
            <w:noWrap/>
          </w:tcPr>
          <w:p>
            <w:pPr>
              <w:rPr>
                <w:rFonts w:ascii="仿宋" w:hAnsi="仿宋" w:eastAsia="仿宋" w:cs="仿宋"/>
                <w:sz w:val="24"/>
                <w:szCs w:val="24"/>
              </w:rPr>
            </w:pPr>
            <w:r>
              <w:rPr>
                <w:rFonts w:hint="eastAsia" w:ascii="仿宋" w:hAnsi="仿宋" w:eastAsia="仿宋" w:cs="仿宋"/>
                <w:sz w:val="24"/>
                <w:szCs w:val="24"/>
              </w:rPr>
              <w:t>1.手柄以下全包覆高生物相容性的防水涂层，可浸泡消毒、确保手术环境无菌、安全，</w:t>
            </w:r>
          </w:p>
          <w:p>
            <w:pPr>
              <w:rPr>
                <w:rFonts w:ascii="仿宋" w:hAnsi="仿宋" w:eastAsia="仿宋" w:cs="仿宋"/>
                <w:sz w:val="24"/>
                <w:szCs w:val="24"/>
              </w:rPr>
            </w:pPr>
            <w:r>
              <w:rPr>
                <w:rFonts w:hint="eastAsia" w:ascii="仿宋" w:hAnsi="仿宋" w:eastAsia="仿宋" w:cs="仿宋"/>
                <w:sz w:val="24"/>
                <w:szCs w:val="24"/>
              </w:rPr>
              <w:t>2.支持拨杆锁定，探头头部支持多个方向</w:t>
            </w:r>
            <w:r>
              <w:rPr>
                <w:rFonts w:ascii="仿宋" w:hAnsi="仿宋" w:eastAsia="仿宋" w:cs="仿宋"/>
                <w:sz w:val="24"/>
                <w:szCs w:val="24"/>
              </w:rPr>
              <w:t>扫描</w:t>
            </w:r>
            <w:r>
              <w:rPr>
                <w:rFonts w:hint="eastAsia" w:ascii="仿宋" w:hAnsi="仿宋" w:eastAsia="仿宋" w:cs="仿宋"/>
                <w:sz w:val="24"/>
                <w:szCs w:val="24"/>
              </w:rPr>
              <w:t>角</w:t>
            </w:r>
            <w:r>
              <w:rPr>
                <w:rFonts w:ascii="仿宋" w:hAnsi="仿宋" w:eastAsia="仿宋" w:cs="仿宋"/>
                <w:sz w:val="24"/>
                <w:szCs w:val="24"/>
              </w:rPr>
              <w:t>度≥</w:t>
            </w:r>
            <w:r>
              <w:rPr>
                <w:rFonts w:hint="eastAsia" w:ascii="仿宋" w:hAnsi="仿宋" w:eastAsia="仿宋" w:cs="仿宋"/>
                <w:sz w:val="24"/>
                <w:szCs w:val="24"/>
              </w:rPr>
              <w:t>40°调节，</w:t>
            </w:r>
          </w:p>
          <w:p>
            <w:pPr>
              <w:rPr>
                <w:rFonts w:ascii="仿宋" w:hAnsi="仿宋" w:eastAsia="仿宋" w:cs="仿宋"/>
                <w:sz w:val="24"/>
                <w:szCs w:val="24"/>
              </w:rPr>
            </w:pPr>
            <w:r>
              <w:rPr>
                <w:rFonts w:hint="eastAsia" w:ascii="仿宋" w:hAnsi="仿宋" w:eastAsia="仿宋" w:cs="仿宋"/>
                <w:sz w:val="24"/>
                <w:szCs w:val="24"/>
              </w:rPr>
              <w:t>3.具有平面内穿刺槽以及自定义按键。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trPr>
        <w:tc>
          <w:tcPr>
            <w:tcW w:w="2160" w:type="dxa"/>
            <w:tcBorders>
              <w:top w:val="single" w:color="auto" w:sz="4" w:space="0"/>
              <w:left w:val="single" w:color="auto" w:sz="4" w:space="0"/>
              <w:bottom w:val="single" w:color="auto" w:sz="4" w:space="0"/>
              <w:right w:val="single" w:color="auto" w:sz="4" w:space="0"/>
            </w:tcBorders>
            <w:noWrap/>
            <w:vAlign w:val="center"/>
          </w:tcPr>
          <w:p>
            <w:pPr>
              <w:jc w:val="center"/>
              <w:rPr>
                <w:sz w:val="24"/>
              </w:rPr>
            </w:pPr>
            <w:r>
              <w:rPr>
                <w:rFonts w:hint="eastAsia"/>
                <w:sz w:val="24"/>
              </w:rPr>
              <w:t>其它要求</w:t>
            </w:r>
          </w:p>
        </w:tc>
        <w:tc>
          <w:tcPr>
            <w:tcW w:w="7020" w:type="dxa"/>
            <w:tcBorders>
              <w:top w:val="single" w:color="auto" w:sz="4" w:space="0"/>
              <w:left w:val="single" w:color="auto" w:sz="4" w:space="0"/>
              <w:bottom w:val="single" w:color="auto" w:sz="4" w:space="0"/>
              <w:right w:val="single" w:color="auto" w:sz="4" w:space="0"/>
            </w:tcBorders>
            <w:noWrap/>
          </w:tcPr>
          <w:p>
            <w:pPr>
              <w:spacing w:line="120" w:lineRule="auto"/>
              <w:jc w:val="left"/>
              <w:rPr>
                <w:rFonts w:ascii="仿宋" w:hAnsi="仿宋" w:eastAsia="仿宋" w:cs="仿宋"/>
                <w:sz w:val="24"/>
                <w:szCs w:val="24"/>
              </w:rPr>
            </w:pPr>
            <w:r>
              <w:rPr>
                <w:rFonts w:hint="eastAsia" w:ascii="仿宋" w:hAnsi="仿宋" w:eastAsia="仿宋" w:cs="仿宋"/>
                <w:sz w:val="24"/>
                <w:szCs w:val="24"/>
              </w:rPr>
              <w:t>1.设备使用期</w:t>
            </w:r>
            <w:r>
              <w:rPr>
                <w:rFonts w:ascii="仿宋" w:hAnsi="仿宋" w:eastAsia="仿宋" w:cs="仿宋"/>
                <w:sz w:val="24"/>
                <w:szCs w:val="24"/>
              </w:rPr>
              <w:t>≥</w:t>
            </w:r>
            <w:r>
              <w:rPr>
                <w:rFonts w:hint="default" w:ascii="仿宋" w:hAnsi="仿宋" w:eastAsia="仿宋" w:cs="仿宋"/>
                <w:sz w:val="24"/>
                <w:szCs w:val="24"/>
                <w:lang w:val="en-US"/>
              </w:rPr>
              <w:t>10</w:t>
            </w:r>
            <w:r>
              <w:rPr>
                <w:rFonts w:hint="eastAsia" w:ascii="仿宋" w:hAnsi="仿宋" w:eastAsia="仿宋" w:cs="仿宋"/>
                <w:sz w:val="24"/>
                <w:szCs w:val="24"/>
              </w:rPr>
              <w:t>年，设备的生产日期和合同签订的时间间隔不大于6个月。</w:t>
            </w:r>
          </w:p>
          <w:p>
            <w:pPr>
              <w:spacing w:line="120" w:lineRule="auto"/>
              <w:jc w:val="left"/>
              <w:rPr>
                <w:rFonts w:ascii="仿宋" w:hAnsi="仿宋" w:eastAsia="仿宋" w:cs="仿宋"/>
                <w:sz w:val="24"/>
                <w:szCs w:val="24"/>
              </w:rPr>
            </w:pPr>
            <w:r>
              <w:rPr>
                <w:rFonts w:hint="eastAsia" w:ascii="仿宋" w:hAnsi="仿宋" w:eastAsia="仿宋" w:cs="仿宋"/>
                <w:sz w:val="24"/>
                <w:szCs w:val="24"/>
              </w:rPr>
              <w:t>2.</w:t>
            </w:r>
            <w:bookmarkStart w:id="0" w:name="OLE_LINK4"/>
            <w:bookmarkStart w:id="1" w:name="OLE_LINK3"/>
            <w:bookmarkStart w:id="2" w:name="OLE_LINK2"/>
            <w:bookmarkStart w:id="3" w:name="OLE_LINK5"/>
            <w:r>
              <w:rPr>
                <w:rFonts w:hint="eastAsia" w:ascii="仿宋" w:hAnsi="仿宋" w:eastAsia="仿宋" w:cs="仿宋"/>
                <w:sz w:val="24"/>
                <w:szCs w:val="24"/>
              </w:rPr>
              <w:t>整机免费质保</w:t>
            </w:r>
            <w:r>
              <w:rPr>
                <w:rFonts w:ascii="仿宋" w:hAnsi="仿宋" w:eastAsia="仿宋" w:cs="仿宋"/>
                <w:sz w:val="24"/>
                <w:szCs w:val="24"/>
              </w:rPr>
              <w:t>≥</w:t>
            </w:r>
            <w:r>
              <w:rPr>
                <w:rFonts w:hint="eastAsia" w:ascii="仿宋" w:hAnsi="仿宋" w:eastAsia="仿宋" w:cs="仿宋"/>
                <w:sz w:val="24"/>
                <w:szCs w:val="24"/>
              </w:rPr>
              <w:t>3年；设备设计使用的耗材必须为开放的耗材，并提供阳光网能点配价格，验收时提供三个以上厂家的耗材使用进行验收。</w:t>
            </w:r>
          </w:p>
          <w:p>
            <w:pPr>
              <w:spacing w:line="120" w:lineRule="auto"/>
              <w:jc w:val="left"/>
              <w:rPr>
                <w:rFonts w:ascii="仿宋" w:hAnsi="仿宋" w:eastAsia="仿宋" w:cs="仿宋"/>
                <w:sz w:val="24"/>
                <w:szCs w:val="24"/>
              </w:rPr>
            </w:pPr>
            <w:r>
              <w:rPr>
                <w:rFonts w:hint="eastAsia" w:ascii="仿宋" w:hAnsi="仿宋" w:eastAsia="仿宋" w:cs="仿宋"/>
                <w:sz w:val="24"/>
                <w:szCs w:val="24"/>
              </w:rPr>
              <w:t>3.验收同时提供纸质版和电子版产品说明书。</w:t>
            </w:r>
            <w:bookmarkEnd w:id="0"/>
            <w:bookmarkEnd w:id="1"/>
            <w:bookmarkEnd w:id="2"/>
            <w:bookmarkEnd w:id="3"/>
            <w:r>
              <w:rPr>
                <w:rFonts w:hint="eastAsia" w:ascii="仿宋" w:hAnsi="仿宋" w:eastAsia="仿宋" w:cs="仿宋"/>
                <w:sz w:val="24"/>
                <w:szCs w:val="24"/>
              </w:rPr>
              <w:t>供货时应同时附上中文使用说明书（包括纸质版和电子版）。</w:t>
            </w:r>
          </w:p>
          <w:p>
            <w:pPr>
              <w:spacing w:line="120" w:lineRule="auto"/>
              <w:jc w:val="left"/>
              <w:rPr>
                <w:rFonts w:ascii="仿宋" w:hAnsi="仿宋" w:eastAsia="仿宋" w:cs="仿宋"/>
                <w:sz w:val="24"/>
                <w:szCs w:val="24"/>
              </w:rPr>
            </w:pPr>
            <w:r>
              <w:rPr>
                <w:rFonts w:hint="eastAsia" w:ascii="仿宋" w:hAnsi="仿宋" w:eastAsia="仿宋" w:cs="仿宋"/>
                <w:sz w:val="24"/>
                <w:szCs w:val="24"/>
              </w:rPr>
              <w:t>4.</w:t>
            </w:r>
            <w:bookmarkStart w:id="4" w:name="OLE_LINK6"/>
            <w:bookmarkStart w:id="5" w:name="OLE_LINK7"/>
            <w:r>
              <w:rPr>
                <w:rFonts w:hint="eastAsia" w:ascii="仿宋" w:hAnsi="仿宋" w:eastAsia="仿宋" w:cs="仿宋"/>
                <w:sz w:val="24"/>
                <w:szCs w:val="24"/>
              </w:rPr>
              <w:t>为确保设备的售后服务质量，乙方必须提供其厂家免费质保三年的售后服务承诺书，包括设备厂家提供产品的终身免费升级服务。</w:t>
            </w:r>
            <w:bookmarkEnd w:id="4"/>
            <w:bookmarkEnd w:id="5"/>
          </w:p>
          <w:p>
            <w:pPr>
              <w:jc w:val="left"/>
              <w:rPr>
                <w:rFonts w:ascii="仿宋" w:hAnsi="仿宋" w:eastAsia="仿宋" w:cs="仿宋"/>
                <w:sz w:val="24"/>
                <w:szCs w:val="24"/>
              </w:rPr>
            </w:pPr>
            <w:r>
              <w:rPr>
                <w:rFonts w:hint="eastAsia" w:ascii="仿宋" w:hAnsi="仿宋" w:eastAsia="仿宋" w:cs="仿宋"/>
                <w:sz w:val="24"/>
                <w:szCs w:val="24"/>
              </w:rPr>
              <w:t>5.设备数据涉及接入我院HIS网络的，验收时按我院要求能查询到HIS网络数据，产生的费用全部由中标方承担。</w:t>
            </w:r>
          </w:p>
          <w:p>
            <w:pPr>
              <w:spacing w:line="400" w:lineRule="exact"/>
              <w:jc w:val="left"/>
              <w:rPr>
                <w:rFonts w:ascii="仿宋" w:hAnsi="仿宋" w:eastAsia="仿宋" w:cs="仿宋"/>
                <w:sz w:val="24"/>
                <w:szCs w:val="24"/>
              </w:rPr>
            </w:pPr>
            <w:r>
              <w:rPr>
                <w:rFonts w:hint="eastAsia" w:ascii="仿宋" w:hAnsi="仿宋" w:eastAsia="仿宋" w:cs="仿宋"/>
                <w:sz w:val="24"/>
                <w:szCs w:val="24"/>
              </w:rPr>
              <w:t>6．在广西省内设有办事处，配备售后服务工程师，定期巡检培训；</w:t>
            </w:r>
          </w:p>
          <w:p>
            <w:pPr>
              <w:spacing w:line="400" w:lineRule="exact"/>
              <w:jc w:val="left"/>
              <w:rPr>
                <w:rFonts w:ascii="仿宋" w:hAnsi="仿宋" w:eastAsia="仿宋" w:cs="仿宋"/>
                <w:sz w:val="24"/>
                <w:szCs w:val="24"/>
              </w:rPr>
            </w:pPr>
            <w:r>
              <w:rPr>
                <w:rFonts w:hint="eastAsia" w:ascii="仿宋" w:hAnsi="仿宋" w:eastAsia="仿宋" w:cs="仿宋"/>
                <w:sz w:val="24"/>
                <w:szCs w:val="24"/>
              </w:rPr>
              <w:t>7．产品零配件国内供应及时；设备主机保修</w:t>
            </w:r>
            <w:r>
              <w:rPr>
                <w:rFonts w:ascii="仿宋" w:hAnsi="仿宋" w:eastAsia="仿宋" w:cs="仿宋"/>
                <w:sz w:val="24"/>
                <w:szCs w:val="24"/>
              </w:rPr>
              <w:t>3</w:t>
            </w:r>
            <w:r>
              <w:rPr>
                <w:rFonts w:hint="eastAsia" w:ascii="仿宋" w:hAnsi="仿宋" w:eastAsia="仿宋" w:cs="仿宋"/>
                <w:sz w:val="24"/>
                <w:szCs w:val="24"/>
              </w:rPr>
              <w:t>年；终身维护；</w:t>
            </w:r>
          </w:p>
          <w:p>
            <w:pPr>
              <w:jc w:val="left"/>
              <w:rPr>
                <w:rFonts w:ascii="仿宋" w:hAnsi="仿宋" w:eastAsia="仿宋" w:cs="仿宋"/>
                <w:sz w:val="24"/>
                <w:szCs w:val="24"/>
              </w:rPr>
            </w:pPr>
            <w:r>
              <w:rPr>
                <w:rFonts w:hint="eastAsia" w:ascii="仿宋" w:hAnsi="仿宋" w:eastAsia="仿宋" w:cs="仿宋"/>
                <w:sz w:val="24"/>
                <w:szCs w:val="24"/>
              </w:rPr>
              <w:t>8．维修响应时间：2小时响应，48小时未解决问题提供备用机使用。</w:t>
            </w:r>
          </w:p>
          <w:p>
            <w:pPr>
              <w:jc w:val="center"/>
              <w:rPr>
                <w:sz w:val="24"/>
              </w:rPr>
            </w:pPr>
          </w:p>
        </w:tc>
      </w:tr>
    </w:tbl>
    <w:p/>
    <w:p>
      <w:pPr>
        <w:pStyle w:val="2"/>
        <w:ind w:firstLine="560" w:firstLineChars="200"/>
        <w:rPr>
          <w:rFonts w:ascii="Times New Roman" w:hAnsi="Times New Roman" w:cs="Times New Roman"/>
          <w:sz w:val="28"/>
          <w:szCs w:val="28"/>
        </w:rPr>
      </w:pPr>
      <w:r>
        <w:rPr>
          <w:rFonts w:hint="eastAsia" w:ascii="Times New Roman" w:hAnsi="Times New Roman" w:cs="Times New Roman"/>
          <w:sz w:val="28"/>
          <w:szCs w:val="28"/>
        </w:rPr>
        <w:t>三、配件</w:t>
      </w:r>
    </w:p>
    <w:p>
      <w:pPr>
        <w:pStyle w:val="2"/>
        <w:ind w:firstLine="560" w:firstLineChars="200"/>
        <w:rPr>
          <w:rFonts w:ascii="Times New Roman" w:hAnsi="Times New Roman" w:cs="Times New Roman"/>
          <w:sz w:val="28"/>
          <w:szCs w:val="28"/>
        </w:rPr>
      </w:pPr>
      <w:r>
        <w:rPr>
          <w:rFonts w:hint="eastAsia" w:ascii="Times New Roman" w:hAnsi="Times New Roman" w:cs="Times New Roman"/>
          <w:sz w:val="28"/>
          <w:szCs w:val="28"/>
        </w:rPr>
        <w:t>设备出保修期后配件的价格：</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5"/>
        <w:gridCol w:w="2521"/>
        <w:gridCol w:w="1704"/>
        <w:gridCol w:w="1704"/>
        <w:gridCol w:w="1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vAlign w:val="center"/>
          </w:tcPr>
          <w:p>
            <w:pPr>
              <w:pStyle w:val="2"/>
              <w:jc w:val="center"/>
              <w:rPr>
                <w:rFonts w:ascii="Times New Roman" w:hAnsi="Times New Roman" w:cs="Times New Roman"/>
                <w:sz w:val="28"/>
                <w:szCs w:val="28"/>
              </w:rPr>
            </w:pPr>
            <w:r>
              <w:rPr>
                <w:rFonts w:hint="eastAsia" w:ascii="Times New Roman" w:hAnsi="Times New Roman" w:cs="Times New Roman"/>
                <w:sz w:val="28"/>
                <w:szCs w:val="28"/>
              </w:rPr>
              <w:t>序号</w:t>
            </w:r>
          </w:p>
        </w:tc>
        <w:tc>
          <w:tcPr>
            <w:tcW w:w="2521" w:type="dxa"/>
            <w:vAlign w:val="center"/>
          </w:tcPr>
          <w:p>
            <w:pPr>
              <w:pStyle w:val="2"/>
              <w:jc w:val="center"/>
              <w:rPr>
                <w:rFonts w:ascii="Times New Roman" w:hAnsi="Times New Roman" w:cs="Times New Roman"/>
                <w:sz w:val="28"/>
                <w:szCs w:val="28"/>
              </w:rPr>
            </w:pPr>
            <w:r>
              <w:rPr>
                <w:rFonts w:hint="eastAsia" w:ascii="Times New Roman" w:hAnsi="Times New Roman" w:cs="Times New Roman"/>
                <w:sz w:val="28"/>
                <w:szCs w:val="28"/>
              </w:rPr>
              <w:t>配件名称</w:t>
            </w:r>
          </w:p>
        </w:tc>
        <w:tc>
          <w:tcPr>
            <w:tcW w:w="1704" w:type="dxa"/>
            <w:vAlign w:val="center"/>
          </w:tcPr>
          <w:p>
            <w:pPr>
              <w:pStyle w:val="2"/>
              <w:jc w:val="center"/>
              <w:rPr>
                <w:rFonts w:ascii="Times New Roman" w:hAnsi="Times New Roman" w:cs="Times New Roman"/>
                <w:sz w:val="28"/>
                <w:szCs w:val="28"/>
              </w:rPr>
            </w:pPr>
            <w:r>
              <w:rPr>
                <w:rFonts w:hint="eastAsia" w:ascii="Times New Roman" w:hAnsi="Times New Roman" w:cs="Times New Roman"/>
                <w:sz w:val="28"/>
                <w:szCs w:val="28"/>
              </w:rPr>
              <w:t>更换频率（次/年）</w:t>
            </w:r>
          </w:p>
        </w:tc>
        <w:tc>
          <w:tcPr>
            <w:tcW w:w="1704" w:type="dxa"/>
            <w:vAlign w:val="center"/>
          </w:tcPr>
          <w:p>
            <w:pPr>
              <w:pStyle w:val="2"/>
              <w:jc w:val="center"/>
              <w:rPr>
                <w:rFonts w:ascii="Times New Roman" w:hAnsi="Times New Roman" w:cs="Times New Roman"/>
                <w:sz w:val="28"/>
                <w:szCs w:val="28"/>
              </w:rPr>
            </w:pPr>
            <w:r>
              <w:rPr>
                <w:rFonts w:hint="eastAsia" w:ascii="Times New Roman" w:hAnsi="Times New Roman" w:cs="Times New Roman"/>
                <w:sz w:val="28"/>
                <w:szCs w:val="28"/>
              </w:rPr>
              <w:t>配件价格（元）</w:t>
            </w:r>
          </w:p>
        </w:tc>
        <w:tc>
          <w:tcPr>
            <w:tcW w:w="1704" w:type="dxa"/>
            <w:vAlign w:val="center"/>
          </w:tcPr>
          <w:p>
            <w:pPr>
              <w:pStyle w:val="2"/>
              <w:jc w:val="center"/>
              <w:rPr>
                <w:rFonts w:ascii="Times New Roman" w:hAnsi="Times New Roman" w:cs="Times New Roman"/>
                <w:sz w:val="28"/>
                <w:szCs w:val="28"/>
              </w:rPr>
            </w:pPr>
            <w:r>
              <w:rPr>
                <w:rFonts w:hint="eastAsia" w:ascii="Times New Roman" w:hAnsi="Times New Roman" w:cs="Times New Roman"/>
                <w:sz w:val="28"/>
                <w:szCs w:val="28"/>
              </w:rPr>
              <w:t>年合计费用（元）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tcPr>
          <w:p>
            <w:pPr>
              <w:pStyle w:val="2"/>
              <w:jc w:val="center"/>
              <w:rPr>
                <w:rFonts w:ascii="Times New Roman" w:hAnsi="Times New Roman" w:cs="Times New Roman"/>
                <w:sz w:val="28"/>
                <w:szCs w:val="28"/>
              </w:rPr>
            </w:pPr>
            <w:r>
              <w:rPr>
                <w:rFonts w:hint="eastAsia" w:ascii="Times New Roman" w:hAnsi="Times New Roman" w:cs="Times New Roman"/>
                <w:sz w:val="28"/>
                <w:szCs w:val="28"/>
              </w:rPr>
              <w:t>1</w:t>
            </w:r>
          </w:p>
        </w:tc>
        <w:tc>
          <w:tcPr>
            <w:tcW w:w="2521" w:type="dxa"/>
          </w:tcPr>
          <w:p>
            <w:pPr>
              <w:pStyle w:val="2"/>
              <w:rPr>
                <w:rFonts w:ascii="Times New Roman" w:hAnsi="Times New Roman" w:cs="Times New Roman"/>
                <w:sz w:val="28"/>
                <w:szCs w:val="28"/>
              </w:rPr>
            </w:pPr>
          </w:p>
        </w:tc>
        <w:tc>
          <w:tcPr>
            <w:tcW w:w="1704" w:type="dxa"/>
          </w:tcPr>
          <w:p>
            <w:pPr>
              <w:pStyle w:val="2"/>
              <w:rPr>
                <w:rFonts w:ascii="Times New Roman" w:hAnsi="Times New Roman" w:cs="Times New Roman"/>
                <w:sz w:val="28"/>
                <w:szCs w:val="28"/>
              </w:rPr>
            </w:pPr>
          </w:p>
        </w:tc>
        <w:tc>
          <w:tcPr>
            <w:tcW w:w="1704" w:type="dxa"/>
          </w:tcPr>
          <w:p>
            <w:pPr>
              <w:pStyle w:val="2"/>
              <w:rPr>
                <w:rFonts w:ascii="Times New Roman" w:hAnsi="Times New Roman" w:cs="Times New Roman"/>
                <w:sz w:val="28"/>
                <w:szCs w:val="28"/>
              </w:rPr>
            </w:pPr>
          </w:p>
        </w:tc>
        <w:tc>
          <w:tcPr>
            <w:tcW w:w="1704" w:type="dxa"/>
          </w:tcPr>
          <w:p>
            <w:pPr>
              <w:pStyle w:val="2"/>
              <w:rPr>
                <w:rFonts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tcPr>
          <w:p>
            <w:pPr>
              <w:pStyle w:val="2"/>
              <w:jc w:val="center"/>
              <w:rPr>
                <w:rFonts w:ascii="Times New Roman" w:hAnsi="Times New Roman" w:cs="Times New Roman"/>
                <w:sz w:val="28"/>
                <w:szCs w:val="28"/>
              </w:rPr>
            </w:pPr>
            <w:r>
              <w:rPr>
                <w:rFonts w:hint="eastAsia" w:ascii="Times New Roman" w:hAnsi="Times New Roman" w:cs="Times New Roman"/>
                <w:sz w:val="28"/>
                <w:szCs w:val="28"/>
              </w:rPr>
              <w:t>2</w:t>
            </w:r>
          </w:p>
        </w:tc>
        <w:tc>
          <w:tcPr>
            <w:tcW w:w="2521" w:type="dxa"/>
          </w:tcPr>
          <w:p>
            <w:pPr>
              <w:pStyle w:val="2"/>
              <w:rPr>
                <w:rFonts w:ascii="Times New Roman" w:hAnsi="Times New Roman" w:cs="Times New Roman"/>
                <w:sz w:val="28"/>
                <w:szCs w:val="28"/>
              </w:rPr>
            </w:pPr>
          </w:p>
        </w:tc>
        <w:tc>
          <w:tcPr>
            <w:tcW w:w="1704" w:type="dxa"/>
          </w:tcPr>
          <w:p>
            <w:pPr>
              <w:pStyle w:val="2"/>
              <w:rPr>
                <w:rFonts w:ascii="Times New Roman" w:hAnsi="Times New Roman" w:cs="Times New Roman"/>
                <w:sz w:val="28"/>
                <w:szCs w:val="28"/>
              </w:rPr>
            </w:pPr>
          </w:p>
        </w:tc>
        <w:tc>
          <w:tcPr>
            <w:tcW w:w="1704" w:type="dxa"/>
          </w:tcPr>
          <w:p>
            <w:pPr>
              <w:pStyle w:val="2"/>
              <w:rPr>
                <w:rFonts w:ascii="Times New Roman" w:hAnsi="Times New Roman" w:cs="Times New Roman"/>
                <w:sz w:val="28"/>
                <w:szCs w:val="28"/>
              </w:rPr>
            </w:pPr>
          </w:p>
        </w:tc>
        <w:tc>
          <w:tcPr>
            <w:tcW w:w="1704" w:type="dxa"/>
          </w:tcPr>
          <w:p>
            <w:pPr>
              <w:pStyle w:val="2"/>
              <w:rPr>
                <w:rFonts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tcPr>
          <w:p>
            <w:pPr>
              <w:pStyle w:val="2"/>
              <w:jc w:val="center"/>
              <w:rPr>
                <w:rFonts w:ascii="Times New Roman" w:hAnsi="Times New Roman" w:cs="Times New Roman"/>
                <w:sz w:val="28"/>
                <w:szCs w:val="28"/>
              </w:rPr>
            </w:pPr>
            <w:r>
              <w:rPr>
                <w:rFonts w:hint="eastAsia" w:ascii="Times New Roman" w:hAnsi="Times New Roman" w:cs="Times New Roman"/>
                <w:sz w:val="28"/>
                <w:szCs w:val="28"/>
              </w:rPr>
              <w:t>3</w:t>
            </w:r>
          </w:p>
        </w:tc>
        <w:tc>
          <w:tcPr>
            <w:tcW w:w="2521" w:type="dxa"/>
          </w:tcPr>
          <w:p>
            <w:pPr>
              <w:pStyle w:val="2"/>
              <w:rPr>
                <w:rFonts w:ascii="Times New Roman" w:hAnsi="Times New Roman" w:cs="Times New Roman"/>
                <w:sz w:val="28"/>
                <w:szCs w:val="28"/>
              </w:rPr>
            </w:pPr>
          </w:p>
        </w:tc>
        <w:tc>
          <w:tcPr>
            <w:tcW w:w="1704" w:type="dxa"/>
          </w:tcPr>
          <w:p>
            <w:pPr>
              <w:pStyle w:val="2"/>
              <w:rPr>
                <w:rFonts w:ascii="Times New Roman" w:hAnsi="Times New Roman" w:cs="Times New Roman"/>
                <w:sz w:val="28"/>
                <w:szCs w:val="28"/>
              </w:rPr>
            </w:pPr>
          </w:p>
        </w:tc>
        <w:tc>
          <w:tcPr>
            <w:tcW w:w="1704" w:type="dxa"/>
          </w:tcPr>
          <w:p>
            <w:pPr>
              <w:pStyle w:val="2"/>
              <w:rPr>
                <w:rFonts w:ascii="Times New Roman" w:hAnsi="Times New Roman" w:cs="Times New Roman"/>
                <w:sz w:val="28"/>
                <w:szCs w:val="28"/>
              </w:rPr>
            </w:pPr>
          </w:p>
        </w:tc>
        <w:tc>
          <w:tcPr>
            <w:tcW w:w="1704" w:type="dxa"/>
          </w:tcPr>
          <w:p>
            <w:pPr>
              <w:pStyle w:val="2"/>
              <w:rPr>
                <w:rFonts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tcPr>
          <w:p>
            <w:pPr>
              <w:pStyle w:val="2"/>
              <w:jc w:val="center"/>
              <w:rPr>
                <w:rFonts w:ascii="Times New Roman" w:hAnsi="Times New Roman" w:cs="Times New Roman"/>
                <w:sz w:val="28"/>
                <w:szCs w:val="28"/>
              </w:rPr>
            </w:pPr>
            <w:r>
              <w:rPr>
                <w:rFonts w:hint="eastAsia" w:ascii="Times New Roman" w:hAnsi="Times New Roman" w:cs="Times New Roman"/>
                <w:sz w:val="28"/>
                <w:szCs w:val="28"/>
              </w:rPr>
              <w:t>4</w:t>
            </w:r>
          </w:p>
        </w:tc>
        <w:tc>
          <w:tcPr>
            <w:tcW w:w="2521" w:type="dxa"/>
          </w:tcPr>
          <w:p>
            <w:pPr>
              <w:pStyle w:val="2"/>
              <w:rPr>
                <w:rFonts w:ascii="Times New Roman" w:hAnsi="Times New Roman" w:cs="Times New Roman"/>
                <w:sz w:val="28"/>
                <w:szCs w:val="28"/>
              </w:rPr>
            </w:pPr>
          </w:p>
        </w:tc>
        <w:tc>
          <w:tcPr>
            <w:tcW w:w="1704" w:type="dxa"/>
          </w:tcPr>
          <w:p>
            <w:pPr>
              <w:pStyle w:val="2"/>
              <w:rPr>
                <w:rFonts w:ascii="Times New Roman" w:hAnsi="Times New Roman" w:cs="Times New Roman"/>
                <w:sz w:val="28"/>
                <w:szCs w:val="28"/>
              </w:rPr>
            </w:pPr>
          </w:p>
        </w:tc>
        <w:tc>
          <w:tcPr>
            <w:tcW w:w="1704" w:type="dxa"/>
          </w:tcPr>
          <w:p>
            <w:pPr>
              <w:pStyle w:val="2"/>
              <w:rPr>
                <w:rFonts w:ascii="Times New Roman" w:hAnsi="Times New Roman" w:cs="Times New Roman"/>
                <w:sz w:val="28"/>
                <w:szCs w:val="28"/>
              </w:rPr>
            </w:pPr>
          </w:p>
        </w:tc>
        <w:tc>
          <w:tcPr>
            <w:tcW w:w="1704" w:type="dxa"/>
          </w:tcPr>
          <w:p>
            <w:pPr>
              <w:pStyle w:val="2"/>
              <w:rPr>
                <w:rFonts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tcPr>
          <w:p>
            <w:pPr>
              <w:pStyle w:val="2"/>
              <w:jc w:val="center"/>
              <w:rPr>
                <w:rFonts w:ascii="Times New Roman" w:hAnsi="Times New Roman" w:cs="Times New Roman"/>
                <w:sz w:val="28"/>
                <w:szCs w:val="28"/>
              </w:rPr>
            </w:pPr>
            <w:r>
              <w:rPr>
                <w:rFonts w:hint="eastAsia" w:ascii="微软雅黑" w:hAnsi="微软雅黑" w:eastAsia="微软雅黑" w:cs="微软雅黑"/>
                <w:sz w:val="28"/>
                <w:szCs w:val="28"/>
              </w:rPr>
              <w:t>……</w:t>
            </w:r>
          </w:p>
        </w:tc>
        <w:tc>
          <w:tcPr>
            <w:tcW w:w="2521" w:type="dxa"/>
          </w:tcPr>
          <w:p>
            <w:pPr>
              <w:pStyle w:val="2"/>
              <w:rPr>
                <w:rFonts w:ascii="Times New Roman" w:hAnsi="Times New Roman" w:cs="Times New Roman"/>
                <w:sz w:val="28"/>
                <w:szCs w:val="28"/>
              </w:rPr>
            </w:pPr>
          </w:p>
        </w:tc>
        <w:tc>
          <w:tcPr>
            <w:tcW w:w="1704" w:type="dxa"/>
          </w:tcPr>
          <w:p>
            <w:pPr>
              <w:pStyle w:val="2"/>
              <w:rPr>
                <w:rFonts w:ascii="Times New Roman" w:hAnsi="Times New Roman" w:cs="Times New Roman"/>
                <w:sz w:val="28"/>
                <w:szCs w:val="28"/>
              </w:rPr>
            </w:pPr>
          </w:p>
        </w:tc>
        <w:tc>
          <w:tcPr>
            <w:tcW w:w="1704" w:type="dxa"/>
          </w:tcPr>
          <w:p>
            <w:pPr>
              <w:pStyle w:val="2"/>
              <w:rPr>
                <w:rFonts w:ascii="Times New Roman" w:hAnsi="Times New Roman" w:cs="Times New Roman"/>
                <w:sz w:val="28"/>
                <w:szCs w:val="28"/>
              </w:rPr>
            </w:pPr>
          </w:p>
        </w:tc>
        <w:tc>
          <w:tcPr>
            <w:tcW w:w="1704" w:type="dxa"/>
          </w:tcPr>
          <w:p>
            <w:pPr>
              <w:pStyle w:val="2"/>
              <w:rPr>
                <w:rFonts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tcPr>
          <w:p>
            <w:pPr>
              <w:pStyle w:val="2"/>
              <w:rPr>
                <w:rFonts w:ascii="Times New Roman" w:hAnsi="Times New Roman" w:cs="Times New Roman"/>
                <w:sz w:val="28"/>
                <w:szCs w:val="28"/>
              </w:rPr>
            </w:pPr>
            <w:r>
              <w:rPr>
                <w:rFonts w:hint="eastAsia" w:ascii="Times New Roman" w:hAnsi="Times New Roman" w:cs="Times New Roman"/>
                <w:sz w:val="28"/>
                <w:szCs w:val="28"/>
              </w:rPr>
              <w:t>合计</w:t>
            </w:r>
          </w:p>
        </w:tc>
        <w:tc>
          <w:tcPr>
            <w:tcW w:w="2521" w:type="dxa"/>
          </w:tcPr>
          <w:p>
            <w:pPr>
              <w:pStyle w:val="2"/>
              <w:rPr>
                <w:rFonts w:ascii="Times New Roman" w:hAnsi="Times New Roman" w:cs="Times New Roman"/>
                <w:sz w:val="28"/>
                <w:szCs w:val="28"/>
              </w:rPr>
            </w:pPr>
          </w:p>
        </w:tc>
        <w:tc>
          <w:tcPr>
            <w:tcW w:w="1704" w:type="dxa"/>
          </w:tcPr>
          <w:p>
            <w:pPr>
              <w:pStyle w:val="2"/>
              <w:rPr>
                <w:rFonts w:ascii="Times New Roman" w:hAnsi="Times New Roman" w:cs="Times New Roman"/>
                <w:sz w:val="28"/>
                <w:szCs w:val="28"/>
              </w:rPr>
            </w:pPr>
          </w:p>
        </w:tc>
        <w:tc>
          <w:tcPr>
            <w:tcW w:w="1704" w:type="dxa"/>
          </w:tcPr>
          <w:p>
            <w:pPr>
              <w:pStyle w:val="2"/>
              <w:rPr>
                <w:rFonts w:ascii="Times New Roman" w:hAnsi="Times New Roman" w:cs="Times New Roman"/>
                <w:sz w:val="28"/>
                <w:szCs w:val="28"/>
              </w:rPr>
            </w:pPr>
          </w:p>
        </w:tc>
        <w:tc>
          <w:tcPr>
            <w:tcW w:w="1704" w:type="dxa"/>
          </w:tcPr>
          <w:p>
            <w:pPr>
              <w:pStyle w:val="2"/>
              <w:rPr>
                <w:rFonts w:ascii="Times New Roman" w:hAnsi="Times New Roman" w:cs="Times New Roman"/>
                <w:sz w:val="28"/>
                <w:szCs w:val="28"/>
              </w:rPr>
            </w:pPr>
          </w:p>
        </w:tc>
      </w:tr>
    </w:tbl>
    <w:p>
      <w:pPr>
        <w:rPr>
          <w:b/>
          <w:bCs/>
          <w:color w:val="C00000"/>
          <w:sz w:val="28"/>
          <w:szCs w:val="28"/>
        </w:rPr>
      </w:pPr>
      <w:r>
        <w:rPr>
          <w:rFonts w:hint="eastAsia" w:ascii="宋体" w:hAnsi="宋体" w:cs="宋体"/>
          <w:b/>
          <w:bCs/>
          <w:color w:val="C00000"/>
          <w:sz w:val="28"/>
          <w:szCs w:val="28"/>
        </w:rPr>
        <w:t>（备注：此表由供应商填写，作为评标的重要依据。）</w:t>
      </w:r>
    </w:p>
    <w:p>
      <w:pPr>
        <w:pStyle w:val="2"/>
        <w:ind w:firstLine="560" w:firstLineChars="200"/>
        <w:rPr>
          <w:rFonts w:ascii="Times New Roman" w:hAnsi="Times New Roman" w:cs="Times New Roman"/>
          <w:sz w:val="28"/>
          <w:szCs w:val="28"/>
        </w:rPr>
      </w:pPr>
      <w:r>
        <w:rPr>
          <w:rFonts w:hint="eastAsia" w:ascii="Times New Roman" w:hAnsi="Times New Roman" w:cs="Times New Roman"/>
          <w:sz w:val="28"/>
          <w:szCs w:val="28"/>
        </w:rPr>
        <w:t>四、设备和耗材、检验试剂的关系</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7"/>
        <w:gridCol w:w="996"/>
        <w:gridCol w:w="683"/>
        <w:gridCol w:w="839"/>
        <w:gridCol w:w="840"/>
        <w:gridCol w:w="840"/>
        <w:gridCol w:w="849"/>
        <w:gridCol w:w="836"/>
        <w:gridCol w:w="836"/>
        <w:gridCol w:w="8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8" w:hRule="atLeast"/>
        </w:trPr>
        <w:tc>
          <w:tcPr>
            <w:tcW w:w="967" w:type="dxa"/>
            <w:vAlign w:val="center"/>
          </w:tcPr>
          <w:p>
            <w:pPr>
              <w:jc w:val="center"/>
              <w:rPr>
                <w:rFonts w:ascii="宋体" w:hAnsi="宋体" w:cs="宋体"/>
              </w:rPr>
            </w:pPr>
            <w:r>
              <w:rPr>
                <w:rFonts w:hint="eastAsia" w:ascii="宋体" w:hAnsi="宋体" w:cs="宋体"/>
              </w:rPr>
              <w:t>设备名称</w:t>
            </w:r>
          </w:p>
        </w:tc>
        <w:tc>
          <w:tcPr>
            <w:tcW w:w="996" w:type="dxa"/>
            <w:vAlign w:val="center"/>
          </w:tcPr>
          <w:p>
            <w:pPr>
              <w:jc w:val="center"/>
              <w:rPr>
                <w:rFonts w:ascii="宋体" w:hAnsi="宋体" w:cs="宋体"/>
              </w:rPr>
            </w:pPr>
            <w:r>
              <w:rPr>
                <w:rFonts w:hint="eastAsia" w:ascii="宋体" w:hAnsi="宋体" w:cs="宋体"/>
              </w:rPr>
              <w:t>设备单价（元）</w:t>
            </w:r>
          </w:p>
        </w:tc>
        <w:tc>
          <w:tcPr>
            <w:tcW w:w="683" w:type="dxa"/>
            <w:vAlign w:val="center"/>
          </w:tcPr>
          <w:p>
            <w:pPr>
              <w:jc w:val="center"/>
              <w:rPr>
                <w:rFonts w:ascii="宋体" w:hAnsi="宋体" w:cs="宋体"/>
              </w:rPr>
            </w:pPr>
            <w:r>
              <w:rPr>
                <w:rFonts w:hint="eastAsia" w:ascii="宋体" w:hAnsi="宋体" w:cs="宋体"/>
              </w:rPr>
              <w:t>国产/进口</w:t>
            </w:r>
          </w:p>
        </w:tc>
        <w:tc>
          <w:tcPr>
            <w:tcW w:w="839" w:type="dxa"/>
            <w:vAlign w:val="center"/>
          </w:tcPr>
          <w:p>
            <w:pPr>
              <w:jc w:val="center"/>
              <w:rPr>
                <w:rFonts w:ascii="宋体" w:hAnsi="宋体" w:cs="宋体"/>
              </w:rPr>
            </w:pPr>
            <w:r>
              <w:rPr>
                <w:rFonts w:hint="eastAsia" w:ascii="宋体" w:hAnsi="宋体" w:cs="宋体"/>
              </w:rPr>
              <w:t>是否专机专用耗材</w:t>
            </w:r>
          </w:p>
        </w:tc>
        <w:tc>
          <w:tcPr>
            <w:tcW w:w="840" w:type="dxa"/>
            <w:vAlign w:val="center"/>
          </w:tcPr>
          <w:p>
            <w:pPr>
              <w:jc w:val="center"/>
              <w:rPr>
                <w:rFonts w:ascii="宋体" w:hAnsi="宋体" w:cs="宋体"/>
              </w:rPr>
            </w:pPr>
            <w:r>
              <w:rPr>
                <w:rFonts w:hint="eastAsia" w:ascii="宋体" w:hAnsi="宋体" w:cs="宋体"/>
              </w:rPr>
              <w:t>耗材品牌</w:t>
            </w:r>
          </w:p>
        </w:tc>
        <w:tc>
          <w:tcPr>
            <w:tcW w:w="840" w:type="dxa"/>
            <w:vAlign w:val="center"/>
          </w:tcPr>
          <w:p>
            <w:pPr>
              <w:jc w:val="center"/>
              <w:rPr>
                <w:rFonts w:ascii="宋体" w:hAnsi="宋体" w:cs="宋体"/>
              </w:rPr>
            </w:pPr>
            <w:r>
              <w:rPr>
                <w:rFonts w:hint="eastAsia" w:ascii="宋体" w:hAnsi="宋体" w:cs="宋体"/>
              </w:rPr>
              <w:t>耗材名称</w:t>
            </w:r>
          </w:p>
        </w:tc>
        <w:tc>
          <w:tcPr>
            <w:tcW w:w="849" w:type="dxa"/>
            <w:vAlign w:val="center"/>
          </w:tcPr>
          <w:p>
            <w:pPr>
              <w:rPr>
                <w:rFonts w:ascii="宋体" w:hAnsi="宋体" w:cs="宋体"/>
              </w:rPr>
            </w:pPr>
            <w:r>
              <w:rPr>
                <w:rFonts w:hint="eastAsia" w:ascii="宋体" w:hAnsi="宋体" w:cs="宋体"/>
              </w:rPr>
              <w:t>集采/阳光网</w:t>
            </w:r>
          </w:p>
        </w:tc>
        <w:tc>
          <w:tcPr>
            <w:tcW w:w="836" w:type="dxa"/>
            <w:vAlign w:val="center"/>
          </w:tcPr>
          <w:p>
            <w:pPr>
              <w:jc w:val="center"/>
              <w:rPr>
                <w:rFonts w:ascii="宋体" w:hAnsi="宋体" w:cs="宋体"/>
              </w:rPr>
            </w:pPr>
            <w:r>
              <w:rPr>
                <w:rFonts w:hint="eastAsia" w:ascii="宋体" w:hAnsi="宋体" w:cs="宋体"/>
              </w:rPr>
              <w:t>集采价格</w:t>
            </w:r>
          </w:p>
        </w:tc>
        <w:tc>
          <w:tcPr>
            <w:tcW w:w="836" w:type="dxa"/>
            <w:vAlign w:val="center"/>
          </w:tcPr>
          <w:p>
            <w:pPr>
              <w:jc w:val="center"/>
              <w:rPr>
                <w:rFonts w:ascii="宋体" w:hAnsi="宋体" w:cs="宋体"/>
              </w:rPr>
            </w:pPr>
            <w:r>
              <w:rPr>
                <w:rFonts w:hint="eastAsia" w:ascii="宋体" w:hAnsi="宋体" w:cs="宋体"/>
              </w:rPr>
              <w:t>阳光网价格</w:t>
            </w:r>
          </w:p>
        </w:tc>
        <w:tc>
          <w:tcPr>
            <w:tcW w:w="836" w:type="dxa"/>
            <w:vAlign w:val="center"/>
          </w:tcPr>
          <w:p>
            <w:pPr>
              <w:jc w:val="center"/>
              <w:rPr>
                <w:rFonts w:ascii="宋体" w:hAnsi="宋体" w:cs="宋体"/>
              </w:rPr>
            </w:pPr>
            <w:r>
              <w:rPr>
                <w:rFonts w:hint="eastAsia" w:ascii="宋体" w:hAnsi="宋体" w:cs="宋体"/>
              </w:rPr>
              <w:t>阳光网成交价格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967" w:type="dxa"/>
            <w:vAlign w:val="center"/>
          </w:tcPr>
          <w:p>
            <w:pPr>
              <w:rPr>
                <w:rFonts w:ascii="宋体" w:hAnsi="宋体" w:cs="宋体"/>
              </w:rPr>
            </w:pPr>
          </w:p>
        </w:tc>
        <w:tc>
          <w:tcPr>
            <w:tcW w:w="996" w:type="dxa"/>
            <w:vAlign w:val="center"/>
          </w:tcPr>
          <w:p>
            <w:pPr>
              <w:rPr>
                <w:rFonts w:ascii="宋体" w:hAnsi="宋体" w:cs="宋体"/>
              </w:rPr>
            </w:pPr>
          </w:p>
        </w:tc>
        <w:tc>
          <w:tcPr>
            <w:tcW w:w="683" w:type="dxa"/>
            <w:vAlign w:val="center"/>
          </w:tcPr>
          <w:p>
            <w:pPr>
              <w:rPr>
                <w:rFonts w:ascii="宋体" w:hAnsi="宋体" w:cs="宋体"/>
              </w:rPr>
            </w:pPr>
          </w:p>
        </w:tc>
        <w:tc>
          <w:tcPr>
            <w:tcW w:w="839" w:type="dxa"/>
            <w:vAlign w:val="center"/>
          </w:tcPr>
          <w:p>
            <w:pPr>
              <w:rPr>
                <w:rFonts w:ascii="宋体" w:hAnsi="宋体" w:cs="宋体"/>
              </w:rPr>
            </w:pPr>
          </w:p>
        </w:tc>
        <w:tc>
          <w:tcPr>
            <w:tcW w:w="840" w:type="dxa"/>
            <w:vAlign w:val="center"/>
          </w:tcPr>
          <w:p>
            <w:pPr>
              <w:rPr>
                <w:rFonts w:ascii="宋体" w:hAnsi="宋体" w:cs="宋体"/>
              </w:rPr>
            </w:pPr>
          </w:p>
        </w:tc>
        <w:tc>
          <w:tcPr>
            <w:tcW w:w="840" w:type="dxa"/>
            <w:vAlign w:val="center"/>
          </w:tcPr>
          <w:p>
            <w:pPr>
              <w:rPr>
                <w:rFonts w:ascii="宋体" w:hAnsi="宋体" w:cs="宋体"/>
              </w:rPr>
            </w:pPr>
          </w:p>
        </w:tc>
        <w:tc>
          <w:tcPr>
            <w:tcW w:w="849" w:type="dxa"/>
            <w:vAlign w:val="center"/>
          </w:tcPr>
          <w:p>
            <w:pPr>
              <w:rPr>
                <w:rFonts w:ascii="宋体" w:hAnsi="宋体" w:cs="宋体"/>
              </w:rPr>
            </w:pPr>
          </w:p>
        </w:tc>
        <w:tc>
          <w:tcPr>
            <w:tcW w:w="836" w:type="dxa"/>
            <w:vAlign w:val="center"/>
          </w:tcPr>
          <w:p>
            <w:pPr>
              <w:rPr>
                <w:rFonts w:ascii="宋体" w:hAnsi="宋体" w:cs="宋体"/>
              </w:rPr>
            </w:pPr>
          </w:p>
        </w:tc>
        <w:tc>
          <w:tcPr>
            <w:tcW w:w="836" w:type="dxa"/>
            <w:vAlign w:val="center"/>
          </w:tcPr>
          <w:p>
            <w:pPr>
              <w:rPr>
                <w:rFonts w:ascii="宋体" w:hAnsi="宋体" w:cs="宋体"/>
              </w:rPr>
            </w:pPr>
          </w:p>
        </w:tc>
        <w:tc>
          <w:tcPr>
            <w:tcW w:w="836" w:type="dxa"/>
            <w:vAlign w:val="center"/>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967" w:type="dxa"/>
            <w:vAlign w:val="center"/>
          </w:tcPr>
          <w:p>
            <w:pPr>
              <w:rPr>
                <w:rFonts w:ascii="宋体" w:hAnsi="宋体" w:cs="宋体"/>
              </w:rPr>
            </w:pPr>
          </w:p>
        </w:tc>
        <w:tc>
          <w:tcPr>
            <w:tcW w:w="996" w:type="dxa"/>
            <w:vAlign w:val="center"/>
          </w:tcPr>
          <w:p>
            <w:pPr>
              <w:rPr>
                <w:rFonts w:ascii="宋体" w:hAnsi="宋体" w:cs="宋体"/>
              </w:rPr>
            </w:pPr>
          </w:p>
        </w:tc>
        <w:tc>
          <w:tcPr>
            <w:tcW w:w="683" w:type="dxa"/>
            <w:vAlign w:val="center"/>
          </w:tcPr>
          <w:p>
            <w:pPr>
              <w:rPr>
                <w:rFonts w:ascii="宋体" w:hAnsi="宋体" w:cs="宋体"/>
              </w:rPr>
            </w:pPr>
          </w:p>
        </w:tc>
        <w:tc>
          <w:tcPr>
            <w:tcW w:w="839" w:type="dxa"/>
            <w:vAlign w:val="center"/>
          </w:tcPr>
          <w:p>
            <w:pPr>
              <w:rPr>
                <w:rFonts w:ascii="宋体" w:hAnsi="宋体" w:cs="宋体"/>
              </w:rPr>
            </w:pPr>
          </w:p>
        </w:tc>
        <w:tc>
          <w:tcPr>
            <w:tcW w:w="840" w:type="dxa"/>
            <w:vAlign w:val="center"/>
          </w:tcPr>
          <w:p>
            <w:pPr>
              <w:rPr>
                <w:rFonts w:ascii="宋体" w:hAnsi="宋体" w:cs="宋体"/>
              </w:rPr>
            </w:pPr>
          </w:p>
        </w:tc>
        <w:tc>
          <w:tcPr>
            <w:tcW w:w="840" w:type="dxa"/>
            <w:vAlign w:val="center"/>
          </w:tcPr>
          <w:p>
            <w:pPr>
              <w:rPr>
                <w:rFonts w:ascii="宋体" w:hAnsi="宋体" w:cs="宋体"/>
              </w:rPr>
            </w:pPr>
          </w:p>
        </w:tc>
        <w:tc>
          <w:tcPr>
            <w:tcW w:w="849" w:type="dxa"/>
            <w:vAlign w:val="center"/>
          </w:tcPr>
          <w:p>
            <w:pPr>
              <w:rPr>
                <w:rFonts w:ascii="宋体" w:hAnsi="宋体" w:cs="宋体"/>
              </w:rPr>
            </w:pPr>
          </w:p>
        </w:tc>
        <w:tc>
          <w:tcPr>
            <w:tcW w:w="836" w:type="dxa"/>
            <w:vAlign w:val="center"/>
          </w:tcPr>
          <w:p>
            <w:pPr>
              <w:rPr>
                <w:rFonts w:ascii="宋体" w:hAnsi="宋体" w:cs="宋体"/>
              </w:rPr>
            </w:pPr>
          </w:p>
        </w:tc>
        <w:tc>
          <w:tcPr>
            <w:tcW w:w="836" w:type="dxa"/>
            <w:vAlign w:val="center"/>
          </w:tcPr>
          <w:p>
            <w:pPr>
              <w:rPr>
                <w:rFonts w:ascii="宋体" w:hAnsi="宋体" w:cs="宋体"/>
              </w:rPr>
            </w:pPr>
          </w:p>
        </w:tc>
        <w:tc>
          <w:tcPr>
            <w:tcW w:w="836" w:type="dxa"/>
            <w:vAlign w:val="center"/>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967" w:type="dxa"/>
            <w:vAlign w:val="center"/>
          </w:tcPr>
          <w:p>
            <w:pPr>
              <w:rPr>
                <w:rFonts w:ascii="宋体" w:hAnsi="宋体" w:cs="宋体"/>
              </w:rPr>
            </w:pPr>
          </w:p>
        </w:tc>
        <w:tc>
          <w:tcPr>
            <w:tcW w:w="996" w:type="dxa"/>
            <w:vAlign w:val="center"/>
          </w:tcPr>
          <w:p>
            <w:pPr>
              <w:rPr>
                <w:rFonts w:ascii="宋体" w:hAnsi="宋体" w:cs="宋体"/>
              </w:rPr>
            </w:pPr>
          </w:p>
        </w:tc>
        <w:tc>
          <w:tcPr>
            <w:tcW w:w="683" w:type="dxa"/>
            <w:vAlign w:val="center"/>
          </w:tcPr>
          <w:p>
            <w:pPr>
              <w:rPr>
                <w:rFonts w:ascii="宋体" w:hAnsi="宋体" w:cs="宋体"/>
              </w:rPr>
            </w:pPr>
          </w:p>
        </w:tc>
        <w:tc>
          <w:tcPr>
            <w:tcW w:w="839" w:type="dxa"/>
            <w:vAlign w:val="center"/>
          </w:tcPr>
          <w:p>
            <w:pPr>
              <w:rPr>
                <w:rFonts w:ascii="宋体" w:hAnsi="宋体" w:cs="宋体"/>
              </w:rPr>
            </w:pPr>
          </w:p>
        </w:tc>
        <w:tc>
          <w:tcPr>
            <w:tcW w:w="840" w:type="dxa"/>
            <w:vAlign w:val="center"/>
          </w:tcPr>
          <w:p>
            <w:pPr>
              <w:rPr>
                <w:rFonts w:ascii="宋体" w:hAnsi="宋体" w:cs="宋体"/>
              </w:rPr>
            </w:pPr>
          </w:p>
        </w:tc>
        <w:tc>
          <w:tcPr>
            <w:tcW w:w="840" w:type="dxa"/>
            <w:vAlign w:val="center"/>
          </w:tcPr>
          <w:p>
            <w:pPr>
              <w:rPr>
                <w:rFonts w:ascii="宋体" w:hAnsi="宋体" w:cs="宋体"/>
              </w:rPr>
            </w:pPr>
          </w:p>
        </w:tc>
        <w:tc>
          <w:tcPr>
            <w:tcW w:w="849" w:type="dxa"/>
            <w:vAlign w:val="center"/>
          </w:tcPr>
          <w:p>
            <w:pPr>
              <w:rPr>
                <w:rFonts w:ascii="宋体" w:hAnsi="宋体" w:cs="宋体"/>
              </w:rPr>
            </w:pPr>
          </w:p>
        </w:tc>
        <w:tc>
          <w:tcPr>
            <w:tcW w:w="836" w:type="dxa"/>
            <w:vAlign w:val="center"/>
          </w:tcPr>
          <w:p>
            <w:pPr>
              <w:rPr>
                <w:rFonts w:ascii="宋体" w:hAnsi="宋体" w:cs="宋体"/>
              </w:rPr>
            </w:pPr>
          </w:p>
        </w:tc>
        <w:tc>
          <w:tcPr>
            <w:tcW w:w="836" w:type="dxa"/>
            <w:vAlign w:val="center"/>
          </w:tcPr>
          <w:p>
            <w:pPr>
              <w:rPr>
                <w:rFonts w:ascii="宋体" w:hAnsi="宋体" w:cs="宋体"/>
              </w:rPr>
            </w:pPr>
          </w:p>
        </w:tc>
        <w:tc>
          <w:tcPr>
            <w:tcW w:w="836" w:type="dxa"/>
            <w:vAlign w:val="center"/>
          </w:tcPr>
          <w:p>
            <w:pPr>
              <w:rPr>
                <w:rFonts w:ascii="宋体" w:hAnsi="宋体" w:cs="宋体"/>
              </w:rPr>
            </w:pPr>
          </w:p>
        </w:tc>
      </w:tr>
    </w:tbl>
    <w:p>
      <w:pPr>
        <w:rPr>
          <w:rFonts w:ascii="宋体" w:hAnsi="宋体" w:cs="宋体"/>
        </w:rPr>
      </w:pPr>
      <w:r>
        <w:rPr>
          <w:rFonts w:hint="eastAsia" w:ascii="宋体" w:hAnsi="宋体" w:cs="宋体"/>
          <w:b/>
          <w:bCs/>
          <w:color w:val="C00000"/>
          <w:sz w:val="28"/>
          <w:szCs w:val="28"/>
        </w:rPr>
        <w:t>（备注：此表由供应商填写，作为评标的重要依据。）</w:t>
      </w:r>
    </w:p>
    <w:p>
      <w:pPr>
        <w:spacing w:line="480" w:lineRule="auto"/>
        <w:ind w:firstLine="5783" w:firstLineChars="2400"/>
        <w:rPr>
          <w:b/>
          <w:bCs/>
          <w:sz w:val="24"/>
          <w:szCs w:val="24"/>
        </w:rPr>
      </w:pPr>
      <w:r>
        <w:rPr>
          <w:rFonts w:hint="eastAsia"/>
          <w:b/>
          <w:bCs/>
          <w:sz w:val="24"/>
          <w:szCs w:val="24"/>
        </w:rPr>
        <w:t>科主任签名：</w:t>
      </w:r>
    </w:p>
    <w:p>
      <w:pPr>
        <w:spacing w:line="480" w:lineRule="auto"/>
        <w:ind w:firstLine="5783" w:firstLineChars="2400"/>
        <w:rPr>
          <w:rFonts w:hint="eastAsia"/>
          <w:b/>
          <w:bCs/>
          <w:sz w:val="24"/>
          <w:szCs w:val="24"/>
        </w:rPr>
      </w:pPr>
      <w:r>
        <w:rPr>
          <w:rFonts w:hint="eastAsia"/>
          <w:b/>
          <w:bCs/>
          <w:sz w:val="24"/>
          <w:szCs w:val="24"/>
        </w:rPr>
        <w:t>202</w:t>
      </w:r>
      <w:r>
        <w:rPr>
          <w:rFonts w:hint="default"/>
          <w:b/>
          <w:bCs/>
          <w:sz w:val="24"/>
          <w:szCs w:val="24"/>
          <w:lang w:val="en-US"/>
        </w:rPr>
        <w:t>6</w:t>
      </w:r>
      <w:r>
        <w:rPr>
          <w:rFonts w:hint="eastAsia"/>
          <w:b/>
          <w:bCs/>
          <w:sz w:val="24"/>
          <w:szCs w:val="24"/>
        </w:rPr>
        <w:t>年</w:t>
      </w:r>
      <w:r>
        <w:rPr>
          <w:rFonts w:hint="default"/>
          <w:b/>
          <w:bCs/>
          <w:sz w:val="24"/>
          <w:szCs w:val="24"/>
          <w:lang w:val="en-US"/>
        </w:rPr>
        <w:t>5</w:t>
      </w:r>
      <w:r>
        <w:rPr>
          <w:rFonts w:hint="eastAsia"/>
          <w:b/>
          <w:bCs/>
          <w:sz w:val="24"/>
          <w:szCs w:val="24"/>
        </w:rPr>
        <w:t>月</w:t>
      </w:r>
      <w:r>
        <w:rPr>
          <w:rFonts w:hint="default"/>
          <w:b/>
          <w:bCs/>
          <w:sz w:val="24"/>
          <w:szCs w:val="24"/>
          <w:lang w:val="en-US"/>
        </w:rPr>
        <w:t>8</w:t>
      </w:r>
      <w:r>
        <w:rPr>
          <w:rFonts w:hint="eastAsia"/>
          <w:b/>
          <w:bCs/>
          <w:sz w:val="24"/>
          <w:szCs w:val="24"/>
        </w:rPr>
        <w:t>日</w:t>
      </w:r>
      <w:bookmarkStart w:id="6" w:name="_GoBack"/>
      <w:bookmarkEnd w:id="6"/>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jUyNDI3YmY5ZjZhYjI0YzA4YzI0N2E1MGMzYjc2MmIifQ=="/>
  </w:docVars>
  <w:rsids>
    <w:rsidRoot w:val="78887C68"/>
    <w:rsid w:val="00031A4A"/>
    <w:rsid w:val="001B1FD0"/>
    <w:rsid w:val="002B6BDC"/>
    <w:rsid w:val="00322BDE"/>
    <w:rsid w:val="003C2D1C"/>
    <w:rsid w:val="0043282F"/>
    <w:rsid w:val="005C0E94"/>
    <w:rsid w:val="009A5093"/>
    <w:rsid w:val="00DC164C"/>
    <w:rsid w:val="00DE0666"/>
    <w:rsid w:val="00F72677"/>
    <w:rsid w:val="06994F5C"/>
    <w:rsid w:val="181A3A94"/>
    <w:rsid w:val="4246427A"/>
    <w:rsid w:val="4C0E4FC1"/>
    <w:rsid w:val="539F1B70"/>
    <w:rsid w:val="546B155D"/>
    <w:rsid w:val="69F0140A"/>
    <w:rsid w:val="78887C6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15"/>
      <w:szCs w:val="15"/>
      <w:lang w:val="en-US" w:eastAsia="zh-CN" w:bidi="ar-SA"/>
    </w:rPr>
  </w:style>
  <w:style w:type="character" w:default="1" w:styleId="5">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Plain Text"/>
    <w:basedOn w:val="1"/>
    <w:qFormat/>
    <w:uiPriority w:val="99"/>
    <w:pPr>
      <w:jc w:val="left"/>
    </w:pPr>
    <w:rPr>
      <w:rFonts w:ascii="Courier New" w:hAnsi="Courier New" w:cs="Courier New"/>
      <w:sz w:val="20"/>
      <w:szCs w:val="20"/>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227</Words>
  <Characters>1299</Characters>
  <Lines>10</Lines>
  <Paragraphs>3</Paragraphs>
  <TotalTime>46</TotalTime>
  <ScaleCrop>false</ScaleCrop>
  <LinksUpToDate>false</LinksUpToDate>
  <CharactersWithSpaces>1523</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2023-02-28T14:58:00Z</dcterms:created>
  <dc:creator>张军</dc:creator>
  <cp:lastModifiedBy>张军</cp:lastModifiedBy>
  <dcterms:modified xsi:type="dcterms:W3CDTF">2026-05-09T00:09:19Z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6668BED0071C438BBCE920AEC2911E36</vt:lpwstr>
  </property>
  <property fmtid="{D5CDD505-2E9C-101B-9397-08002B2CF9AE}" pid="4" name="KSOTemplateDocerSaveRecord">
    <vt:lpwstr>eyJoZGlkIjoiZjUyNDI3YmY5ZjZhYjI0YzA4YzI0N2E1MGMzYjc2MmIiLCJ1c2VySWQiOiIyNTgxOTczNDcifQ==</vt:lpwstr>
  </property>
</Properties>
</file>