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CA57CA">
      <w:pPr>
        <w:jc w:val="center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5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 w14:paraId="4ACB3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72815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078E9A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 w14:paraId="69EBF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43A5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F19D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血气分析仪</w:t>
            </w:r>
          </w:p>
        </w:tc>
      </w:tr>
      <w:tr w14:paraId="3D1D3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E42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E8CB017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Style w:val="8"/>
                <w:rFonts w:ascii="宋体" w:hAnsi="宋体" w:cs="宋体"/>
                <w:b w:val="0"/>
                <w:color w:val="000000"/>
                <w:sz w:val="24"/>
                <w:szCs w:val="24"/>
              </w:rPr>
              <w:t>2分钟内出结果</w:t>
            </w:r>
            <w:r>
              <w:rPr>
                <w:rFonts w:ascii="宋体" w:hAnsi="宋体" w:cs="宋体"/>
                <w:sz w:val="24"/>
                <w:szCs w:val="24"/>
              </w:rPr>
              <w:t>、床旁快速、多参数同步、指导抢救与治疗调整</w:t>
            </w:r>
            <w:r>
              <w:rPr>
                <w:rFonts w:hint="eastAsia" w:ascii="宋体" w:hAnsi="宋体" w:cs="宋体"/>
                <w:sz w:val="24"/>
                <w:szCs w:val="24"/>
              </w:rPr>
              <w:t>；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适用于呼吸困难、呼吸衰竭、慢性阻塞性肺疾病、重症肺炎、哮喘持续状态等呼吸系统疾病患者；各类休克、严重创伤、昏迷、中毒、心功能不全、围手术期麻醉患者；存在电解质紊乱、肾功能异常、糖尿病酮症酸中毒、严重脱水及感染脓毒症患者；同时适用于早产儿、新生儿窒息、新生儿呼吸窘迫综合征等新生儿危重患者。可满足急诊科、重症医学科、手术室、麻醉科、呼吸内科、儿科、心内科等科室危重患者快速检测需求。</w:t>
            </w:r>
          </w:p>
        </w:tc>
      </w:tr>
      <w:tr w14:paraId="575C5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6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1E44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3D0FAFF">
            <w:pPr>
              <w:widowControl/>
              <w:jc w:val="left"/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检测速度快捷，单样本检测时间不超过2分钟，满足急诊、手术术中快速检测需求；采血量少，适配新生儿、重症及体弱患者采样。检测精度高、重复性好，具备自动校准及质控监测功能，可有效抵抗溶血、脂血、黄疸标本干扰，检测结果准确稳定，符合医院质控管理标准。</w:t>
            </w:r>
          </w:p>
          <w:p w14:paraId="392CBDAB">
            <w:pPr>
              <w:widowControl/>
              <w:jc w:val="left"/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配备中文触控操作界面，操作简单便捷。支持全自动进样、自动识别样本、自动清洗，减少人工操作，降低交叉感染风险。设备内置大容量存储，可长期保存检测数据，支持热敏打印及医院HIS、LIS系统联网上传，便于病历归档及数据溯源。具备故障自检、耗材余量提醒功能，维护简单，运维成本低。</w:t>
            </w:r>
          </w:p>
          <w:p w14:paraId="2FE18826">
            <w:pPr>
              <w:widowControl/>
              <w:jc w:val="left"/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采用一体化试剂包或传感卡式设计，拆装更换简便，无需复杂配液。试剂储存条件温和，无特殊储存要求。设备可24小时不间断待机，能耗低，能够满足临床全天候应急检测工作。</w:t>
            </w:r>
          </w:p>
          <w:p w14:paraId="783CC21D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设备密闭性良好，具备防渗漏、防污染设计，配备独立密闭废液收集装置，符合医疗废物处置规范。机身体积小巧，占用空间小，可放置于病房、手术室、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复苏室、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急诊、重症监护室等区域，满足床旁快速检测使用需求。</w:t>
            </w:r>
          </w:p>
        </w:tc>
      </w:tr>
      <w:tr w14:paraId="386DC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1875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EAEC53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7CE30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DCA4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 w14:paraId="7CA8DE80"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FB31B7">
            <w:pPr>
              <w:widowControl/>
              <w:jc w:val="left"/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设备搭载高清彩色液晶触控显示屏，支持触控手写操作，按键灵敏、显示清晰。内置高精度原装生物传感检测器，传感器稳定性强、使用寿命长；配备全自动精密进样针，防堵塞、防残留。搭载大容量内置蓄电池，断电后可维持设备短时运行，保障突发断电情况下检测不中断。内置高速热敏打印机，无需额外耗材，可快速打印检测报告单；配备标准网络接口、USB接口，支持数据导出及外接设备拓展。整机散热性能良好，运行噪音低，机身材质防腐、耐消毒，适配医院频繁消杀工作环境。</w:t>
            </w:r>
          </w:p>
          <w:p w14:paraId="5A33DF52">
            <w:pPr>
              <w:widowControl/>
              <w:jc w:val="left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搭载专用医用检测操作系统，为全中文可视化操作界面，逻辑简洁，便于医护人员快速上手操作。系统内置标准临床参考数据库，可自动判定检测结果异常并标注警示；支持患者信息手动录入、扫码录入，可关联住院号、病历号。具备智能质控管理系统，自动保存质控记录、生成质控报表，满足医院检验科质控考核标准。内置数据存储数据库，可存储不少于20000条检测记录，支持数据按时间、科室、患者检索查询。具备系统自动加密功能，保障患者医疗数据安全；支持双向通讯，可无缝对接医院HIS、LIS信息系统，实现检测数据实时上传、病历自动归档。系统自带故障智能诊断、日志记录功能，可自动提示故障原因、耗材余量，便于设备日常维护管理。</w:t>
            </w:r>
          </w:p>
        </w:tc>
      </w:tr>
      <w:tr w14:paraId="1B080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F191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08FD23F">
            <w:pPr>
              <w:spacing w:line="12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1.设备使用期</w:t>
            </w:r>
            <w:r>
              <w:rPr>
                <w:rFonts w:ascii="Arial" w:hAnsi="Arial" w:cs="Arial"/>
                <w:sz w:val="24"/>
                <w:szCs w:val="24"/>
              </w:rPr>
              <w:t>≥</w:t>
            </w:r>
            <w:r>
              <w:rPr>
                <w:rFonts w:hint="eastAsia" w:ascii="Arial" w:hAnsi="Arial" w:cs="Arial"/>
                <w:sz w:val="24"/>
                <w:szCs w:val="24"/>
              </w:rPr>
              <w:t>6</w:t>
            </w:r>
            <w:r>
              <w:rPr>
                <w:rFonts w:hint="eastAsia" w:ascii="宋体" w:hAnsi="宋体"/>
                <w:sz w:val="24"/>
                <w:szCs w:val="24"/>
              </w:rPr>
              <w:t>年，设备的生产日期和合同签订的时间间隔不大于6个月。</w:t>
            </w:r>
          </w:p>
          <w:p w14:paraId="099E0B05">
            <w:pPr>
              <w:spacing w:line="12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bookmarkStart w:id="0" w:name="OLE_LINK3"/>
            <w:bookmarkStart w:id="1" w:name="OLE_LINK4"/>
            <w:bookmarkStart w:id="2" w:name="OLE_LINK5"/>
            <w:bookmarkStart w:id="3" w:name="OLE_LINK2"/>
            <w:r>
              <w:rPr>
                <w:rFonts w:hint="eastAsia" w:ascii="宋体" w:hAnsi="宋体"/>
                <w:sz w:val="24"/>
                <w:szCs w:val="24"/>
              </w:rPr>
              <w:t>整机免费质保</w:t>
            </w:r>
            <w:r>
              <w:rPr>
                <w:rFonts w:ascii="Arial" w:hAnsi="Arial" w:cs="Arial"/>
                <w:sz w:val="24"/>
                <w:szCs w:val="24"/>
              </w:rPr>
              <w:t>≥</w:t>
            </w:r>
            <w:r>
              <w:rPr>
                <w:rFonts w:hint="eastAsia" w:ascii="宋体" w:hAnsi="宋体"/>
                <w:sz w:val="24"/>
                <w:szCs w:val="24"/>
              </w:rPr>
              <w:t>3年；设备设计使用的耗材必须为开放的耗材，并提供阳光网能点配价格，验收时提供三个以上厂家的耗材使用进行验收。</w:t>
            </w:r>
          </w:p>
          <w:p w14:paraId="2E4B55D5">
            <w:pPr>
              <w:spacing w:line="12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sz w:val="24"/>
                <w:szCs w:val="24"/>
              </w:rPr>
              <w:t>供货时应同时附上中文使用说明书（包括纸质版和电子版）。</w:t>
            </w:r>
          </w:p>
          <w:p w14:paraId="10CE4A80">
            <w:pPr>
              <w:spacing w:line="12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/>
                <w:sz w:val="24"/>
                <w:szCs w:val="24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 w14:paraId="25A7A512">
            <w:pPr>
              <w:jc w:val="lef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  <w:p w14:paraId="3D5E1F97">
            <w:pPr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6．在广西省内设有办事处，配备售后服务工程师，定期巡检培训；</w:t>
            </w:r>
          </w:p>
          <w:p w14:paraId="17EFAAFA">
            <w:pPr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7．产品零配件国内供应及时；设备主机保修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年；终身维护；</w:t>
            </w:r>
          </w:p>
          <w:p w14:paraId="66BDF612">
            <w:pPr>
              <w:jc w:val="left"/>
              <w:rPr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8．维修响应时间：2小时响应，48小时未解决问题提供备用机使用。</w:t>
            </w:r>
          </w:p>
          <w:p w14:paraId="24C03013">
            <w:pPr>
              <w:jc w:val="center"/>
              <w:rPr>
                <w:sz w:val="24"/>
              </w:rPr>
            </w:pPr>
          </w:p>
        </w:tc>
      </w:tr>
    </w:tbl>
    <w:p w14:paraId="77CC789D"/>
    <w:p w14:paraId="073C8685"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三、配件</w:t>
      </w:r>
    </w:p>
    <w:p w14:paraId="3E2809A5"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设备出保修期后配件的价格：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 w14:paraId="5E34A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 w14:paraId="529D7CAF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序号</w:t>
            </w:r>
          </w:p>
        </w:tc>
        <w:tc>
          <w:tcPr>
            <w:tcW w:w="2521" w:type="dxa"/>
            <w:vAlign w:val="center"/>
          </w:tcPr>
          <w:p w14:paraId="6E51309C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配件名称</w:t>
            </w:r>
          </w:p>
        </w:tc>
        <w:tc>
          <w:tcPr>
            <w:tcW w:w="1704" w:type="dxa"/>
            <w:vAlign w:val="center"/>
          </w:tcPr>
          <w:p w14:paraId="6ECC715E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 w14:paraId="6D2913DD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配件价格（元）</w:t>
            </w:r>
          </w:p>
        </w:tc>
        <w:tc>
          <w:tcPr>
            <w:tcW w:w="1704" w:type="dxa"/>
            <w:vAlign w:val="center"/>
          </w:tcPr>
          <w:p w14:paraId="4521C041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年合计费用（元）</w:t>
            </w:r>
          </w:p>
        </w:tc>
      </w:tr>
      <w:tr w14:paraId="2CF60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2F97D6C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21" w:type="dxa"/>
          </w:tcPr>
          <w:p w14:paraId="0FE2B374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2C93B817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74FC479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37CCF695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B1F6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1247FEC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21" w:type="dxa"/>
          </w:tcPr>
          <w:p w14:paraId="6A5C8748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6731C94B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4239D30B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29EA7C48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4DC7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76189F4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21" w:type="dxa"/>
          </w:tcPr>
          <w:p w14:paraId="737CF394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1D406AC4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1234D6B0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0A117C49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71C3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5D6A06F3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21" w:type="dxa"/>
          </w:tcPr>
          <w:p w14:paraId="6CD83E0F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2B65DA89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00264B99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0147F61C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CAE4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A723DB7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</w:rPr>
              <w:t>……</w:t>
            </w:r>
          </w:p>
        </w:tc>
        <w:tc>
          <w:tcPr>
            <w:tcW w:w="2521" w:type="dxa"/>
          </w:tcPr>
          <w:p w14:paraId="6DE9E1CB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79562BF8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6377D24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615B5FD6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7A57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E96DE3E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合计</w:t>
            </w:r>
          </w:p>
        </w:tc>
        <w:tc>
          <w:tcPr>
            <w:tcW w:w="2521" w:type="dxa"/>
          </w:tcPr>
          <w:p w14:paraId="689241CE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7028D097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3E1E1CE7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7AAA2F3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CAAD916">
      <w:pPr>
        <w:rPr>
          <w:b/>
          <w:bCs/>
          <w:color w:val="C00000"/>
          <w:sz w:val="28"/>
          <w:szCs w:val="28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</w:rPr>
        <w:t>（备注：此表由供应商填写，作为评标的重要依据。）</w:t>
      </w:r>
    </w:p>
    <w:p w14:paraId="20DEE6E0"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四、设备和耗材、检验试剂的关系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 w14:paraId="135D2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 w14:paraId="52088B24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设备名称</w:t>
            </w:r>
          </w:p>
        </w:tc>
        <w:tc>
          <w:tcPr>
            <w:tcW w:w="996" w:type="dxa"/>
            <w:vAlign w:val="center"/>
          </w:tcPr>
          <w:p w14:paraId="59988003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设备单价（元）</w:t>
            </w:r>
          </w:p>
        </w:tc>
        <w:tc>
          <w:tcPr>
            <w:tcW w:w="683" w:type="dxa"/>
            <w:vAlign w:val="center"/>
          </w:tcPr>
          <w:p w14:paraId="2DC3F37D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国产/进口</w:t>
            </w:r>
          </w:p>
        </w:tc>
        <w:tc>
          <w:tcPr>
            <w:tcW w:w="839" w:type="dxa"/>
            <w:vAlign w:val="center"/>
          </w:tcPr>
          <w:p w14:paraId="487BA91A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 w14:paraId="56CD7AC4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耗材品牌</w:t>
            </w:r>
          </w:p>
        </w:tc>
        <w:tc>
          <w:tcPr>
            <w:tcW w:w="840" w:type="dxa"/>
            <w:vAlign w:val="center"/>
          </w:tcPr>
          <w:p w14:paraId="7B4623D1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耗材名称</w:t>
            </w:r>
          </w:p>
        </w:tc>
        <w:tc>
          <w:tcPr>
            <w:tcW w:w="849" w:type="dxa"/>
            <w:vAlign w:val="center"/>
          </w:tcPr>
          <w:p w14:paraId="63C77FD2"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集采/阳光网</w:t>
            </w:r>
          </w:p>
        </w:tc>
        <w:tc>
          <w:tcPr>
            <w:tcW w:w="836" w:type="dxa"/>
            <w:vAlign w:val="center"/>
          </w:tcPr>
          <w:p w14:paraId="58BE3DD1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集采价格</w:t>
            </w:r>
          </w:p>
        </w:tc>
        <w:tc>
          <w:tcPr>
            <w:tcW w:w="836" w:type="dxa"/>
            <w:vAlign w:val="center"/>
          </w:tcPr>
          <w:p w14:paraId="3682ACEE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阳光网价格</w:t>
            </w:r>
          </w:p>
        </w:tc>
        <w:tc>
          <w:tcPr>
            <w:tcW w:w="836" w:type="dxa"/>
            <w:vAlign w:val="center"/>
          </w:tcPr>
          <w:p w14:paraId="605B6256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阳光网成交价格</w:t>
            </w:r>
          </w:p>
        </w:tc>
      </w:tr>
      <w:tr w14:paraId="0AF23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 w14:paraId="2D0BD3B0">
            <w:pPr>
              <w:rPr>
                <w:rFonts w:ascii="宋体" w:hAnsi="宋体" w:cs="宋体"/>
              </w:rPr>
            </w:pPr>
          </w:p>
        </w:tc>
        <w:tc>
          <w:tcPr>
            <w:tcW w:w="996" w:type="dxa"/>
            <w:vAlign w:val="center"/>
          </w:tcPr>
          <w:p w14:paraId="1E9E7761">
            <w:pPr>
              <w:rPr>
                <w:rFonts w:ascii="宋体" w:hAnsi="宋体" w:cs="宋体"/>
              </w:rPr>
            </w:pPr>
          </w:p>
        </w:tc>
        <w:tc>
          <w:tcPr>
            <w:tcW w:w="683" w:type="dxa"/>
            <w:vAlign w:val="center"/>
          </w:tcPr>
          <w:p w14:paraId="11EEF7F0">
            <w:pPr>
              <w:rPr>
                <w:rFonts w:ascii="宋体" w:hAnsi="宋体" w:cs="宋体"/>
              </w:rPr>
            </w:pPr>
          </w:p>
        </w:tc>
        <w:tc>
          <w:tcPr>
            <w:tcW w:w="839" w:type="dxa"/>
            <w:vAlign w:val="center"/>
          </w:tcPr>
          <w:p w14:paraId="7BB066C7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703DF164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27570D16">
            <w:pPr>
              <w:rPr>
                <w:rFonts w:ascii="宋体" w:hAnsi="宋体" w:cs="宋体"/>
              </w:rPr>
            </w:pPr>
          </w:p>
        </w:tc>
        <w:tc>
          <w:tcPr>
            <w:tcW w:w="849" w:type="dxa"/>
            <w:vAlign w:val="center"/>
          </w:tcPr>
          <w:p w14:paraId="161FBCCD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0CBAB76A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4952D61B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64FF62DA">
            <w:pPr>
              <w:rPr>
                <w:rFonts w:ascii="宋体" w:hAnsi="宋体" w:cs="宋体"/>
              </w:rPr>
            </w:pPr>
          </w:p>
        </w:tc>
      </w:tr>
      <w:tr w14:paraId="7853F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 w14:paraId="4FC14917">
            <w:pPr>
              <w:rPr>
                <w:rFonts w:ascii="宋体" w:hAnsi="宋体" w:cs="宋体"/>
              </w:rPr>
            </w:pPr>
          </w:p>
        </w:tc>
        <w:tc>
          <w:tcPr>
            <w:tcW w:w="996" w:type="dxa"/>
            <w:vAlign w:val="center"/>
          </w:tcPr>
          <w:p w14:paraId="11972154">
            <w:pPr>
              <w:rPr>
                <w:rFonts w:ascii="宋体" w:hAnsi="宋体" w:cs="宋体"/>
              </w:rPr>
            </w:pPr>
          </w:p>
        </w:tc>
        <w:tc>
          <w:tcPr>
            <w:tcW w:w="683" w:type="dxa"/>
            <w:vAlign w:val="center"/>
          </w:tcPr>
          <w:p w14:paraId="74BA94B2">
            <w:pPr>
              <w:rPr>
                <w:rFonts w:ascii="宋体" w:hAnsi="宋体" w:cs="宋体"/>
              </w:rPr>
            </w:pPr>
          </w:p>
        </w:tc>
        <w:tc>
          <w:tcPr>
            <w:tcW w:w="839" w:type="dxa"/>
            <w:vAlign w:val="center"/>
          </w:tcPr>
          <w:p w14:paraId="54D31E47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16F783A0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7A36DB30">
            <w:pPr>
              <w:rPr>
                <w:rFonts w:ascii="宋体" w:hAnsi="宋体" w:cs="宋体"/>
              </w:rPr>
            </w:pPr>
          </w:p>
        </w:tc>
        <w:tc>
          <w:tcPr>
            <w:tcW w:w="849" w:type="dxa"/>
            <w:vAlign w:val="center"/>
          </w:tcPr>
          <w:p w14:paraId="0D414BBA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7DC41801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04024994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3A70D723">
            <w:pPr>
              <w:rPr>
                <w:rFonts w:ascii="宋体" w:hAnsi="宋体" w:cs="宋体"/>
              </w:rPr>
            </w:pPr>
          </w:p>
        </w:tc>
      </w:tr>
      <w:tr w14:paraId="5CB1B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 w14:paraId="06C358F7">
            <w:pPr>
              <w:rPr>
                <w:rFonts w:ascii="宋体" w:hAnsi="宋体" w:cs="宋体"/>
              </w:rPr>
            </w:pPr>
          </w:p>
        </w:tc>
        <w:tc>
          <w:tcPr>
            <w:tcW w:w="996" w:type="dxa"/>
            <w:vAlign w:val="center"/>
          </w:tcPr>
          <w:p w14:paraId="56B6E1F6">
            <w:pPr>
              <w:rPr>
                <w:rFonts w:ascii="宋体" w:hAnsi="宋体" w:cs="宋体"/>
              </w:rPr>
            </w:pPr>
          </w:p>
        </w:tc>
        <w:tc>
          <w:tcPr>
            <w:tcW w:w="683" w:type="dxa"/>
            <w:vAlign w:val="center"/>
          </w:tcPr>
          <w:p w14:paraId="4F5A349F">
            <w:pPr>
              <w:rPr>
                <w:rFonts w:ascii="宋体" w:hAnsi="宋体" w:cs="宋体"/>
              </w:rPr>
            </w:pPr>
          </w:p>
        </w:tc>
        <w:tc>
          <w:tcPr>
            <w:tcW w:w="839" w:type="dxa"/>
            <w:vAlign w:val="center"/>
          </w:tcPr>
          <w:p w14:paraId="241967F8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67FAF344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6D6FDD80">
            <w:pPr>
              <w:rPr>
                <w:rFonts w:ascii="宋体" w:hAnsi="宋体" w:cs="宋体"/>
              </w:rPr>
            </w:pPr>
          </w:p>
        </w:tc>
        <w:tc>
          <w:tcPr>
            <w:tcW w:w="849" w:type="dxa"/>
            <w:vAlign w:val="center"/>
          </w:tcPr>
          <w:p w14:paraId="03673AA5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339BE4AD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4A0A318D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0CC96F12">
            <w:pPr>
              <w:rPr>
                <w:rFonts w:ascii="宋体" w:hAnsi="宋体" w:cs="宋体"/>
              </w:rPr>
            </w:pPr>
          </w:p>
        </w:tc>
      </w:tr>
    </w:tbl>
    <w:p w14:paraId="5599F50C">
      <w:pPr>
        <w:rPr>
          <w:rFonts w:ascii="宋体" w:hAnsi="宋体" w:cs="宋体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</w:rPr>
        <w:t>（备注：此表由供应商填写，作为评标的重要依据。）</w:t>
      </w:r>
    </w:p>
    <w:p w14:paraId="4C121847">
      <w:pPr>
        <w:spacing w:line="480" w:lineRule="auto"/>
        <w:ind w:firstLine="5783" w:firstLineChars="24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科主任签名：</w:t>
      </w:r>
      <w:bookmarkStart w:id="6" w:name="_GoBack"/>
      <w:bookmarkEnd w:id="6"/>
    </w:p>
    <w:p w14:paraId="70C20182">
      <w:pPr>
        <w:tabs>
          <w:tab w:val="right" w:pos="8306"/>
        </w:tabs>
        <w:spacing w:line="480" w:lineRule="auto"/>
        <w:ind w:right="480"/>
        <w:jc w:val="right"/>
      </w:pPr>
      <w:r>
        <w:rPr>
          <w:rFonts w:hint="eastAsia" w:ascii="宋体" w:hAnsi="宋体"/>
          <w:sz w:val="24"/>
          <w:szCs w:val="24"/>
        </w:rPr>
        <w:t>2026年5月20日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ZjUyNDI3YmY5ZjZhYjI0YzA4YzI0N2E1MGMzYjc2MmIifQ=="/>
  </w:docVars>
  <w:rsids>
    <w:rsidRoot w:val="78887C68"/>
    <w:rsid w:val="00354310"/>
    <w:rsid w:val="00F770DB"/>
    <w:rsid w:val="0270686F"/>
    <w:rsid w:val="0F9562EE"/>
    <w:rsid w:val="12BE66AD"/>
    <w:rsid w:val="138E182D"/>
    <w:rsid w:val="173739A8"/>
    <w:rsid w:val="181A3A94"/>
    <w:rsid w:val="1C672A34"/>
    <w:rsid w:val="22631AF5"/>
    <w:rsid w:val="2B1B15F8"/>
    <w:rsid w:val="38C9112D"/>
    <w:rsid w:val="3B7468CF"/>
    <w:rsid w:val="3F84512C"/>
    <w:rsid w:val="40300C94"/>
    <w:rsid w:val="4246427A"/>
    <w:rsid w:val="442E38B9"/>
    <w:rsid w:val="4C0E4FC1"/>
    <w:rsid w:val="539F1B70"/>
    <w:rsid w:val="56FB578F"/>
    <w:rsid w:val="5CA575BD"/>
    <w:rsid w:val="69F0140A"/>
    <w:rsid w:val="728B07CD"/>
    <w:rsid w:val="76E1101E"/>
    <w:rsid w:val="78887C68"/>
    <w:rsid w:val="7BEB6788"/>
    <w:rsid w:val="7C9A30C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Char"/>
    <w:basedOn w:val="7"/>
    <w:link w:val="4"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2540</Words>
  <Characters>2735</Characters>
  <Lines>2</Lines>
  <Paragraphs>5</Paragraphs>
  <TotalTime>0</TotalTime>
  <ScaleCrop>false</ScaleCrop>
  <LinksUpToDate>false</LinksUpToDate>
  <CharactersWithSpaces>2741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蔡永宇</cp:lastModifiedBy>
  <dcterms:modified xsi:type="dcterms:W3CDTF">2026-06-03T23:57:58Z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eyJoZGlkIjoiNzBjNGQ2NGEyMzliZTgzMjdiNDZkZWRiMDY5Yzk1ZTMiLCJ1c2VySWQiOiIxODA1NTk2NjIyIn0=</vt:lpwstr>
  </property>
</Properties>
</file>