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spacing w:before="160" w:after="0"/>
        <w:ind w:left="0" w:right="0"/>
        <w:jc w:val="center"/>
        <w:textAlignment w:val="auto"/>
        <w:rPr>
          <w:rFonts w:hint="eastAsia" w:ascii="宋体" w:hAnsi="宋体" w:eastAsia="宋体" w:cs="宋体"/>
          <w:b/>
          <w:i w:val="0"/>
          <w:spacing w:val="0"/>
          <w:sz w:val="44"/>
          <w:szCs w:val="44"/>
        </w:rPr>
      </w:pPr>
      <w:r>
        <w:rPr>
          <w:rFonts w:hint="eastAsia" w:ascii="宋体" w:hAnsi="宋体" w:eastAsia="宋体" w:cs="宋体"/>
          <w:b/>
          <w:i w:val="0"/>
          <w:spacing w:val="0"/>
          <w:sz w:val="44"/>
          <w:szCs w:val="44"/>
        </w:rPr>
        <w:t>医用血管造影X射线机</w:t>
      </w:r>
    </w:p>
    <w:p>
      <w:pPr>
        <w:pageBreakBefore w:val="0"/>
        <w:wordWrap/>
        <w:spacing w:before="160" w:after="0"/>
        <w:ind w:left="0" w:right="0"/>
        <w:jc w:val="center"/>
        <w:textAlignment w:val="auto"/>
        <w:rPr>
          <w:rFonts w:hint="eastAsia" w:ascii="宋体" w:hAnsi="宋体" w:eastAsia="宋体" w:cs="宋体"/>
          <w:b/>
          <w:i w:val="0"/>
          <w:spacing w:val="0"/>
          <w:sz w:val="44"/>
          <w:szCs w:val="44"/>
        </w:rPr>
      </w:pPr>
      <w:r>
        <w:rPr>
          <w:rFonts w:hint="eastAsia" w:ascii="宋体" w:hAnsi="宋体" w:eastAsia="宋体" w:cs="宋体"/>
          <w:b/>
          <w:i w:val="0"/>
          <w:spacing w:val="0"/>
          <w:sz w:val="44"/>
          <w:szCs w:val="44"/>
        </w:rPr>
        <w:t>需求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一、功能需求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1.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使用人群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全院各科室（如介入科、心内科、神经内科、神经外科、血管外科、肿瘤科、急诊科等）需要进行血管造影检查及介入治疗的患者，涵盖成人及符合介入手术条件的儿童。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2.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功能作用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用于全身血管系统（冠状动脉、脑血管、外周血管、内脏血管）的精准成像诊断。支持各类介入手术操作，包括但不限于：冠状动脉支架植入术、心脏电生理射频消融术、脑血管取栓及支架植入术、肿瘤介入灌注化疗及栓塞术、外周血管成形术等。需具备高清晰度的二维/三维实时成像能力，确保手术安全与效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3.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核心功能要求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机架系统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：落地式或悬吊式机架，具备多轴电动运动控制（C臂、导管床），支持快速角度定位与记忆功能，满足复杂体位投照需求。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3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成像能力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：具备三维路图功能，支持类CT成像，用于术中实时评估血管及支架展开情况。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低剂量技术：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必须配备先进的低剂量成像技术（如铜滤过、光谱优化、AI降噪算法等），在保证图像清晰度的前提下，大幅降低术者与患者的辐射剂量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3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探测器参数：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采用平板探测器，有效成像视野≥2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cm x 2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cm，空间分辨率≥3.25 LP/mm，具备高灵敏度与动态范围。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高压发生器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：功率≥80kW，最大管电压≥125kV，最大管电流≥1000mA，具备超短脉冲曝光能力，冻结心脏运动伪影。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、采购基础信息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设备名称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：医用血管造影X射线机（DSA）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使用年限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年以上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生产与合同时间间隔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：不大于6个月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质保要求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：整机免费质保3年及以上，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必须包含球管、探测器、高压发生器等核心部件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。质保期内，球管损坏需免费更换，并提供开机率保证（≥95%）。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、临床功能确认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以设备说明书为准，需明确支持以下功能：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常规造影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 全身各部位血管的数字减影造影（DSA）、数字透视、数字点片。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高级临床应用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心脏介入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：具备冠脉造影专用协议、心脏起搏器植入辅助、射频消融导航。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神经介入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：具备脑血管造影、动脉瘤栓塞辅助、急性缺血性卒中取栓路图引导。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肿瘤介入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：具备肿瘤血管超选择造影、灌注化疗及栓塞术引导。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外周介入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：具备下肢血管长程造影（步进功能）、肾动脉狭窄评估。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穿刺导航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：具备经皮实时介入穿刺导航技术（如虚拟支架植入、虚拟穿刺针引导）。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、软、硬件及售后要求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1. 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软、硬件的配置要求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主控台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 配置高性能原厂工业控制计算机，CPU≥4核，内存≥32GB，硬盘≥1TB SSD，配备≥24英寸高分辨率医用显示器。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图像后处理工作站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必须配置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原厂独立高级后处理工作站，预装全套软件，包括：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血管分析软件（QCA、QVA、Bifurcation分析）。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3D重建与分析软件（VR、MIP、MPR、容积测量）。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心脏/神经专用分析模块。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辅助设备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配套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DSA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高压注射器1套，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多道电生理系统1套，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医用显示器（双屏）1套，射线防护用品（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医护人员专用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2.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售后要求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服务响应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：提供7×24小时技术支持热线。设备故障需在2小时内响应，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24小时内到达现场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并修复，若48小时内无法修复，需提供备用机或替代方案。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开机率保证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：合同期内保证设备年开机率≥95%。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预防性维护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：每年提供不少于4次的预防性保养（PM），包含必要的耗材更换与剂量校准。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培训服务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：提供全面的设备操作、维修保养及临床应用培训。现场培训不少于5次，并提供外出进修或技术交流培训名额不少于3人次。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资料交付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：验收时提供全套中英文纸质版及电子版操作手册、维修手册、电路图、装箱单及医疗器械注册证复印件。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3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软件升级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：质保期内提供免费软件升级服务，包括临床应用软件的更新。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3" w:firstLineChars="200"/>
        <w:jc w:val="left"/>
        <w:textAlignment w:val="auto"/>
        <w:rPr>
          <w:rFonts w:hint="eastAsia" w:ascii="仿宋" w:hAnsi="仿宋" w:eastAsia="仿宋" w:cs="仿宋"/>
          <w:b/>
          <w:i w:val="0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i w:val="0"/>
          <w:spacing w:val="0"/>
          <w:kern w:val="0"/>
          <w:sz w:val="32"/>
          <w:szCs w:val="32"/>
          <w:lang w:val="en-US" w:eastAsia="zh-CN"/>
        </w:rPr>
        <w:t>六、供应商资质：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中标供应商必须按条例，取得辐射安全许可证。（根据《中华人民共和国放射性污染防治法》（2003年6月28日主席令第六号）第二十八条：生产、销售、使用放射性同位素与射线装置放射防护的规定申请领取许可证，办理登记手续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3" w:firstLineChars="200"/>
        <w:jc w:val="left"/>
        <w:textAlignment w:val="auto"/>
        <w:rPr>
          <w:rFonts w:hint="eastAsia" w:ascii="仿宋" w:hAnsi="仿宋" w:eastAsia="仿宋" w:cs="仿宋"/>
          <w:b/>
          <w:i w:val="0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i w:val="0"/>
          <w:spacing w:val="0"/>
          <w:kern w:val="0"/>
          <w:sz w:val="32"/>
          <w:szCs w:val="32"/>
          <w:lang w:val="en-US" w:eastAsia="zh-CN"/>
        </w:rPr>
        <w:t>七、包括机房的防护安装。</w:t>
      </w:r>
      <w:bookmarkStart w:id="0" w:name="_GoBack"/>
      <w:bookmarkEnd w:id="0"/>
    </w:p>
    <w:sectPr>
      <w:headerReference r:id="rId3" w:type="default"/>
      <w:footerReference r:id="rId4" w:type="default"/>
      <w:pgSz w:w="12240" w:h="15840"/>
      <w:pgMar w:top="2098" w:right="1474" w:bottom="2098" w:left="1587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nforcement="0"/>
  <w:compat>
    <w:ulTrailSpace/>
    <w:useFELayout/>
    <w:compatSetting w:name="compatibilityMode" w:uri="http://schemas.microsoft.com/office/word" w:val="15"/>
  </w:compat>
  <w:rsids>
    <w:rsidRoot w:val="00000000"/>
    <w:rsid w:val="177A1396"/>
    <w:rsid w:val="259C4941"/>
    <w:rsid w:val="32A94B99"/>
    <w:rsid w:val="4152303D"/>
    <w:rsid w:val="44292034"/>
    <w:rsid w:val="45220FC0"/>
    <w:rsid w:val="45382FD7"/>
    <w:rsid w:val="5CB46B97"/>
    <w:rsid w:val="6D7221B9"/>
    <w:rsid w:val="6FD83160"/>
    <w:rsid w:val="72FB573B"/>
    <w:rsid w:val="793018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paragraph" w:styleId="3">
    <w:name w:val="Body Text Indent"/>
    <w:basedOn w:val="1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3"/>
    <w:qFormat/>
    <w:uiPriority w:val="0"/>
    <w:pPr>
      <w:spacing w:after="120"/>
      <w:ind w:left="420" w:leftChars="200" w:firstLine="420" w:firstLineChars="200"/>
    </w:pPr>
    <w:rPr>
      <w:rFonts w:ascii="Times New Roman" w:hAnsi="Times New Roman" w:eastAsia="宋体" w:cs="Times New Roman"/>
      <w:kern w:val="2"/>
      <w:sz w:val="21"/>
      <w:szCs w:val="24"/>
    </w:rPr>
  </w:style>
  <w:style w:type="table" w:styleId="7">
    <w:name w:val="Table Grid"/>
    <w:basedOn w:val="6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1601</Words>
  <Characters>1886</Characters>
  <TotalTime>0</TotalTime>
  <ScaleCrop>false</ScaleCrop>
  <LinksUpToDate>false</LinksUpToDate>
  <CharactersWithSpaces>1987</CharactersWithSpaces>
  <Application>WPS Office_11.8.2.8808_F1E327BC-269C-435d-A152-05C5408002CA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2026-01-13T09:35:00Z</dcterms:created>
  <dc:creator>Apache POI</dc:creator>
  <cp:lastModifiedBy>张军</cp:lastModifiedBy>
  <cp:lastPrinted>2026-01-22T02:17:04Z</cp:lastPrinted>
  <dcterms:modified xsi:type="dcterms:W3CDTF">2026-01-22T02:17:07Z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ContentPropagator":"001191440101MA9Y9T4H7A00000","Label":"1","ReservedCode1":"bbhNAZF8e3wSBzcomJG+selD7lYLKR+AKcorhUzBE0A=","ProduceID":"doc_sgs:ad606b87-74b9-4045-a657-b3fc8cf1ee38","ReservedCode2":"bbhNAZF8e3wSBzcomJG+selD7lYLKR+AKcorhUzBE0A=","PropagateID":"doc_sgs:ad606b87-74b9-4045-a657-b3fc8cf1ee38","ContentProducer":"001191440101MA9Y9T4H7A00000"}</vt:lpwstr>
  </property>
  <property fmtid="{D5CDD505-2E9C-101B-9397-08002B2CF9AE}" pid="3" name="KSOTemplateDocerSaveRecord">
    <vt:lpwstr>eyJoZGlkIjoiZDZlYzExOTYzMGVlNjJmMWExM2ViZWMxMmQ3YzcyN2UiLCJ1c2VySWQiOiI0NDU3NDYzMDMifQ==</vt:lpwstr>
  </property>
  <property fmtid="{D5CDD505-2E9C-101B-9397-08002B2CF9AE}" pid="4" name="KSOProductBuildVer">
    <vt:lpwstr>2052-11.8.2.8808</vt:lpwstr>
  </property>
  <property fmtid="{D5CDD505-2E9C-101B-9397-08002B2CF9AE}" pid="5" name="ICV">
    <vt:lpwstr>9FED49C858AC475EAC06F258669F43B5_12</vt:lpwstr>
  </property>
</Properties>
</file>