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spacing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spacing w:val="0"/>
          <w:sz w:val="44"/>
          <w:szCs w:val="44"/>
        </w:rPr>
        <w:t>X</w:t>
      </w:r>
      <w:r>
        <w:rPr>
          <w:rFonts w:hint="eastAsia" w:ascii="宋体" w:hAnsi="宋体" w:eastAsia="宋体" w:cs="宋体"/>
          <w:b/>
          <w:bCs/>
          <w:i w:val="0"/>
          <w:spacing w:val="0"/>
          <w:sz w:val="44"/>
          <w:szCs w:val="44"/>
          <w:lang w:val="en-US" w:eastAsia="zh-CN"/>
        </w:rPr>
        <w:t>射</w:t>
      </w:r>
      <w:r>
        <w:rPr>
          <w:rFonts w:hint="eastAsia" w:ascii="宋体" w:hAnsi="宋体" w:eastAsia="宋体" w:cs="宋体"/>
          <w:b/>
          <w:bCs/>
          <w:i w:val="0"/>
          <w:spacing w:val="0"/>
          <w:sz w:val="44"/>
          <w:szCs w:val="44"/>
        </w:rPr>
        <w:t>线计算机断层扫描仪</w:t>
      </w:r>
      <w:r>
        <w:rPr>
          <w:rFonts w:hint="eastAsia" w:ascii="宋体" w:hAnsi="宋体" w:eastAsia="宋体" w:cs="宋体"/>
          <w:b/>
          <w:bCs/>
          <w:i w:val="0"/>
          <w:spacing w:val="0"/>
          <w:sz w:val="44"/>
          <w:szCs w:val="4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i w:val="0"/>
          <w:spacing w:val="0"/>
          <w:sz w:val="44"/>
          <w:szCs w:val="44"/>
        </w:rPr>
        <w:t>64排</w:t>
      </w:r>
      <w:r>
        <w:rPr>
          <w:rFonts w:hint="eastAsia" w:ascii="宋体" w:hAnsi="宋体" w:eastAsia="宋体" w:cs="宋体"/>
          <w:b/>
          <w:bCs/>
          <w:i w:val="0"/>
          <w:spacing w:val="0"/>
          <w:sz w:val="44"/>
          <w:szCs w:val="44"/>
          <w:lang w:eastAsia="zh-CN"/>
        </w:rPr>
        <w:t>）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ascii="宋体" w:hAnsi="宋体" w:eastAsia="宋体" w:cs="宋体"/>
          <w:b/>
          <w:i w:val="0"/>
          <w:spacing w:val="0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一、功能需求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1.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使用人群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全院各科室（如急诊科、呼吸内科、心血管内科、肿瘤科、消化内科、骨科、神经外科等）需要进行CT检查的患者，涵盖创伤中心接诊的各类创伤患者，重点为多发伤、复合伤、急性大出血、颅脑外伤、脊柱脊髓损伤患者，包含成人及儿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功能作用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用于全身各部位（颅脑、胸部、腹部、盆腔、脊柱、四肢、心血管等）的快速、高分辨率CT成像。支持常规平扫、增强扫描，作为创伤救治的核心影像设备，需支持全身一站式快速扫描，实现“从头到脚”的无缝覆盖。重点满足急性创伤的快速确诊（如脏器破裂、血管损伤、隐匿性骨折等），并为急诊手术方案制定提供精准依据。以及各类高级后处理功能（如CTA、CTP、仿真内窥镜、骨密度分析等），满足临床诊断、急诊急救、术前规划、术后评估及科研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3.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核心功能要求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643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spacing w:val="0"/>
          <w:sz w:val="32"/>
          <w:szCs w:val="32"/>
        </w:rPr>
        <w:t>超薄探测器与覆盖范围</w:t>
      </w:r>
      <w:r>
        <w:rPr>
          <w:rFonts w:hint="eastAsia" w:ascii="仿宋" w:hAnsi="仿宋" w:eastAsia="仿宋" w:cs="仿宋"/>
          <w:b/>
          <w:bCs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探测器物理排数≥64排，Z轴探测器覆盖宽度≥4.0cm（优先考虑宽体探测器设计），以减少大范围扫描的旋转次数，缩短扫描时间。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spacing w:val="0"/>
          <w:sz w:val="32"/>
          <w:szCs w:val="32"/>
        </w:rPr>
        <w:t>极速扫描能力</w:t>
      </w:r>
      <w:r>
        <w:rPr>
          <w:rFonts w:hint="eastAsia" w:ascii="仿宋" w:hAnsi="仿宋" w:eastAsia="仿宋" w:cs="仿宋"/>
          <w:b/>
          <w:bCs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球管旋转速度≤0.35秒/圈，时间分辨率≤50毫秒，能够冻结心脏及创伤性出血的瞬间影像，减少运动伪影。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spacing w:val="0"/>
          <w:sz w:val="32"/>
          <w:szCs w:val="32"/>
        </w:rPr>
        <w:t>大孔径设计：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机架孔径≥70cm，便于大体型患者及特殊体位检查；扫描床最大承重≥200kg，移动速度≥170mm/s，具备高精度定位功能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便于容纳急救担架、呼吸机及监护设备，方便危重创伤患者进出，减少搬运风险。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spacing w:val="0"/>
          <w:sz w:val="32"/>
          <w:szCs w:val="32"/>
        </w:rPr>
        <w:t>低剂量扫描技术：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必须配备先进的迭代重建算法（如AI深度学习降噪技术），在保证图像诊断质量的前提下，将辐射剂量降低60%以上，保护多发伤患者（尤其是儿童）免受二次伤害。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spacing w:val="0"/>
          <w:sz w:val="32"/>
          <w:szCs w:val="32"/>
        </w:rPr>
        <w:t>智能触发与自动化：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支持“一键式”急诊创伤扫描协议；具备智能血管造影触发技术，能自动识别对比剂到达峰值，确保血管成像质量。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系统兼容性：支持DICOM 3.0标准，可无缝接入医院PACS/HIS系统。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、采购基础信息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设备名称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：X线计算机断层扫描仪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64排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使用年限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年以上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生产与合同时间间隔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：不大于6个月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质保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：整机免费质保3年及以上，包含球管、探测器、高压发生器等核心部件。质保期内，球管损坏需免费更换。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、临床功能确认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以设备说明书为准，需明确支持以下检查功能：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常规扫描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 头颅、胸腹盆、脊柱四肢等全身各部位平扫及增强扫描。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高级后处理功能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 多平面重建（MPR）、最大密度投影（MIP）、表面遮盖显示（SSD）、容积再现（VR）、CT血管成像（CTA）、CT灌注成像（CTP）。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特殊检查功能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 心脏冠脉成像、肺部低剂量筛查、仿真内窥镜（VE）、骨密度测量、双能/能谱成像（具备此功能更佳）。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儿科/急诊应用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 具备快速扫描模式，适用于急诊创伤检查及不配合患儿的检查。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、软、硬件及售后要求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软、硬件的配置要求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主控台计算机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 CPU≥4核，内存≥32GB，硬盘容量≥1TB，配备≥19英寸医学专用液晶显示器（分辨率≥1280×1024），具备光盘刻录系统。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图像后处理工作站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：配置原厂高端独立后处理工作站，CPU≥4核，内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存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≥16GB，硬盘容量≥1TB，配备≥24英寸医学专用液晶显示器，预装全套高级后处理软件（含三维重建、血管分析、灌注分析等）。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辅助设备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配套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CT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高压注射器1套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医用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专业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显示器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套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2. 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售后要求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服务响应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 提供7×24小时售后服务热线。设备出现故障，工程师需在2小时内响应，24小时内到达现场并提供备用机，确保临床检查不中断。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开机率保证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 合同期内保证设备开机率≥95%。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预防性维护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 每年提供不少于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次的预防性保养（PM），包含必要的耗材更换。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培训服务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 提供全面的设备操作、维修保养培训。现场培训不少于5次，并提供外出技术交流或培训名额不少于3人次。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资料交付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 验收时提供完整的中英文纸质版及电子版操作手册、维修手册、电路图、装箱单等资料。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软件升级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 质保期内提供免费软件升级服务。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b/>
          <w:i w:val="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i w:val="0"/>
          <w:spacing w:val="0"/>
          <w:kern w:val="0"/>
          <w:sz w:val="32"/>
          <w:szCs w:val="32"/>
          <w:lang w:val="en-US" w:eastAsia="zh-CN"/>
        </w:rPr>
        <w:t>六、供应商资质：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中标供应商必须按条例，取得辐射安全许可证。（根据《中华人民共和国放射性污染防治法》（2003年6月28日主席令第六号）第二十八条：生产、销售、使用放射性同位素与射线装置放射防护的规定申请领取许可证，办理登记手续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default" w:ascii="仿宋" w:hAnsi="仿宋" w:eastAsia="仿宋" w:cs="仿宋"/>
          <w:b/>
          <w:i w:val="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i w:val="0"/>
          <w:spacing w:val="0"/>
          <w:kern w:val="0"/>
          <w:sz w:val="32"/>
          <w:szCs w:val="32"/>
          <w:lang w:val="en-US" w:eastAsia="zh-CN"/>
        </w:rPr>
        <w:t>七、包括机房的防护安装。</w:t>
      </w:r>
    </w:p>
    <w:p>
      <w:pPr>
        <w:pStyle w:val="2"/>
        <w:rPr>
          <w:rFonts w:hint="eastAsia"/>
        </w:rPr>
      </w:pPr>
      <w:bookmarkStart w:id="0" w:name="_GoBack"/>
      <w:bookmarkEnd w:id="0"/>
    </w:p>
    <w:sectPr>
      <w:headerReference r:id="rId3" w:type="default"/>
      <w:footerReference r:id="rId4" w:type="default"/>
      <w:pgSz w:w="12240" w:h="15840"/>
      <w:pgMar w:top="2098" w:right="1474" w:bottom="2098" w:left="1587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00B278DD"/>
    <w:rsid w:val="04984AF7"/>
    <w:rsid w:val="0CCE1B16"/>
    <w:rsid w:val="16C156A9"/>
    <w:rsid w:val="18A04539"/>
    <w:rsid w:val="2B307EBA"/>
    <w:rsid w:val="41A3266A"/>
    <w:rsid w:val="4A314FDA"/>
    <w:rsid w:val="687320B1"/>
    <w:rsid w:val="6AE875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/>
      <w:ind w:left="420" w:leftChars="200" w:firstLine="420" w:firstLineChars="200"/>
    </w:pPr>
    <w:rPr>
      <w:rFonts w:ascii="Times New Roman" w:hAnsi="Times New Roman" w:eastAsia="宋体" w:cs="Times New Roman"/>
      <w:kern w:val="2"/>
      <w:sz w:val="21"/>
      <w:szCs w:val="24"/>
    </w:rPr>
  </w:style>
  <w:style w:type="paragraph" w:styleId="3">
    <w:name w:val="Body Text Indent"/>
    <w:basedOn w:val="1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1551</Words>
  <Characters>1739</Characters>
  <TotalTime>0</TotalTime>
  <ScaleCrop>false</ScaleCrop>
  <LinksUpToDate>false</LinksUpToDate>
  <CharactersWithSpaces>1798</CharactersWithSpaces>
  <Application>WPS Office_11.8.2.8808_F1E327BC-269C-435d-A152-05C5408002CA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2026-01-13T09:06:00Z</dcterms:created>
  <dc:creator>Apache POI</dc:creator>
  <cp:lastModifiedBy>张军</cp:lastModifiedBy>
  <cp:lastPrinted>2026-01-22T02:12:00Z</cp:lastPrinted>
  <dcterms:modified xsi:type="dcterms:W3CDTF">2026-01-22T02:16:30Z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ContentPropagator":"001191440101MA9Y9T4H7A00000","Label":"1","ReservedCode1":"krkxGOz6lo+DHjALsK/sOpZcsIi2ClZDqLOt8wEWAyY=","ProduceID":"doc_sgs:0d1001ce-c256-45c8-a633-5229f09d66f2","ReservedCode2":"krkxGOz6lo+DHjALsK/sOpZcsIi2ClZDqLOt8wEWAyY=","PropagateID":"doc_sgs:0d1001ce-c256-45c8-a633-5229f09d66f2","ContentProducer":"001191440101MA9Y9T4H7A00000"}</vt:lpwstr>
  </property>
  <property fmtid="{D5CDD505-2E9C-101B-9397-08002B2CF9AE}" pid="3" name="KSOTemplateDocerSaveRecord">
    <vt:lpwstr>eyJoZGlkIjoiZDZlYzExOTYzMGVlNjJmMWExM2ViZWMxMmQ3YzcyN2UiLCJ1c2VySWQiOiI0NDU3NDYzMDMifQ==</vt:lpwstr>
  </property>
  <property fmtid="{D5CDD505-2E9C-101B-9397-08002B2CF9AE}" pid="4" name="KSOProductBuildVer">
    <vt:lpwstr>2052-11.8.2.8808</vt:lpwstr>
  </property>
  <property fmtid="{D5CDD505-2E9C-101B-9397-08002B2CF9AE}" pid="5" name="ICV">
    <vt:lpwstr>C3C2959CBF7F4FF68E69ACBEC454A63A_12</vt:lpwstr>
  </property>
</Properties>
</file>