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7046B">
      <w:pPr>
        <w:pStyle w:val="2"/>
        <w:bidi w:val="0"/>
        <w:jc w:val="center"/>
        <w:rPr>
          <w:rFonts w:hint="eastAsia"/>
        </w:rPr>
      </w:pPr>
      <w:r>
        <w:rPr>
          <w:rFonts w:hint="eastAsia"/>
        </w:rPr>
        <w:t>医院信息系统接入广西全民健康信息平台接口及应用改造开发</w:t>
      </w:r>
    </w:p>
    <w:p w14:paraId="28DC39C5">
      <w:pPr>
        <w:spacing w:after="120" w:line="360" w:lineRule="auto"/>
        <w:ind w:firstLine="480" w:firstLineChars="200"/>
        <w:jc w:val="left"/>
        <w:rPr>
          <w:rFonts w:hint="eastAsia" w:ascii="宋体" w:hAnsi="宋体" w:eastAsia="宋体" w:cs="宋体"/>
          <w:b w:val="0"/>
          <w:i w:val="0"/>
          <w:strike w:val="0"/>
          <w:color w:val="auto"/>
          <w:sz w:val="24"/>
          <w:u w:val="none"/>
        </w:rPr>
      </w:pPr>
      <w:r>
        <w:rPr>
          <w:rFonts w:hint="eastAsia" w:ascii="宋体" w:hAnsi="宋体" w:eastAsia="宋体" w:cs="宋体"/>
          <w:b w:val="0"/>
          <w:i w:val="0"/>
          <w:strike w:val="0"/>
          <w:color w:val="auto"/>
          <w:sz w:val="24"/>
          <w:u w:val="none"/>
        </w:rPr>
        <w:t>1.完成北流市人民医院现有信息系统与广西全民健康信息平台的数据接口上传及应用改造开发工作。按照广西全民健康信息平台的要求，确保接口开发符合但不限于《广西全民健康信息平台数据采集规范-医疗及运营分册》的标准和要求。</w:t>
      </w:r>
    </w:p>
    <w:p w14:paraId="148E106F">
      <w:pPr>
        <w:spacing w:after="120" w:line="360" w:lineRule="auto"/>
        <w:ind w:firstLine="480" w:firstLineChars="200"/>
        <w:jc w:val="left"/>
        <w:rPr>
          <w:rFonts w:hint="eastAsia" w:ascii="宋体" w:hAnsi="宋体" w:eastAsia="宋体" w:cs="宋体"/>
          <w:b w:val="0"/>
          <w:i w:val="0"/>
          <w:strike w:val="0"/>
          <w:color w:val="auto"/>
          <w:sz w:val="24"/>
          <w:u w:val="none"/>
        </w:rPr>
      </w:pPr>
      <w:r>
        <w:rPr>
          <w:rFonts w:hint="eastAsia" w:ascii="宋体" w:hAnsi="宋体" w:eastAsia="宋体" w:cs="宋体"/>
          <w:b w:val="0"/>
          <w:i w:val="0"/>
          <w:strike w:val="0"/>
          <w:color w:val="auto"/>
          <w:sz w:val="24"/>
          <w:u w:val="none"/>
          <w:lang w:val="en-US" w:eastAsia="zh-CN"/>
        </w:rPr>
        <w:t>2</w:t>
      </w:r>
      <w:r>
        <w:rPr>
          <w:rFonts w:hint="eastAsia" w:ascii="宋体" w:hAnsi="宋体" w:eastAsia="宋体" w:cs="宋体"/>
          <w:b w:val="0"/>
          <w:i w:val="0"/>
          <w:strike w:val="0"/>
          <w:color w:val="auto"/>
          <w:sz w:val="24"/>
          <w:u w:val="none"/>
        </w:rPr>
        <w:t>.根据广西壮族自治区卫生健康委员会要求，对接与数据采集计划安排优先完成核心医疗数据、门(急)诊病案首页、医院体检记录等数据，后期根据业务应用推动逐步扩增采集，制定并实施接口开发计划，明确开发批次及优先级，要在上级要求时间内完成任务。</w:t>
      </w:r>
    </w:p>
    <w:p w14:paraId="55D9726E">
      <w:pPr>
        <w:spacing w:after="120" w:line="360" w:lineRule="auto"/>
        <w:ind w:firstLine="480" w:firstLineChars="200"/>
        <w:jc w:val="left"/>
        <w:rPr>
          <w:rFonts w:hint="eastAsia" w:ascii="宋体" w:hAnsi="宋体" w:eastAsia="宋体" w:cs="宋体"/>
          <w:b w:val="0"/>
          <w:i w:val="0"/>
          <w:strike w:val="0"/>
          <w:color w:val="auto"/>
          <w:sz w:val="24"/>
          <w:u w:val="none"/>
        </w:rPr>
      </w:pPr>
      <w:r>
        <w:rPr>
          <w:rFonts w:hint="eastAsia" w:ascii="宋体" w:hAnsi="宋体" w:eastAsia="宋体" w:cs="宋体"/>
          <w:b w:val="0"/>
          <w:i w:val="0"/>
          <w:strike w:val="0"/>
          <w:color w:val="auto"/>
          <w:sz w:val="24"/>
          <w:u w:val="none"/>
          <w:lang w:val="en-US" w:eastAsia="zh-CN"/>
        </w:rPr>
        <w:t>3</w:t>
      </w:r>
      <w:r>
        <w:rPr>
          <w:rFonts w:hint="eastAsia" w:ascii="宋体" w:hAnsi="宋体" w:eastAsia="宋体" w:cs="宋体"/>
          <w:b w:val="0"/>
          <w:i w:val="0"/>
          <w:strike w:val="0"/>
          <w:color w:val="auto"/>
          <w:sz w:val="24"/>
          <w:u w:val="none"/>
        </w:rPr>
        <w:t>.因广西全民健康信息平台是一个持续性建设的庞大项目，本次关于全民健康信息平台接口开发服务内容以广西壮族自治区卫生健康委员会发布的需在2025年12月31日开放的接口内容为准。（如：目前玉林市卫生健康委员会发布数据采集要求主要包含：数据采集规范限定在:患者基本信息（1张表）、门急诊诊疗类数据（10张表）、住院诊疗类数据（5张表）、医学影像检查记录（2张表）、实验室检验记录（4张表）、住院病案首页（5张表）+ 门诊病案首页(4张表)  + 医院体检记录(3张表)。）</w:t>
      </w:r>
    </w:p>
    <w:p w14:paraId="153C151D">
      <w:pPr>
        <w:spacing w:after="120" w:line="360" w:lineRule="auto"/>
        <w:ind w:firstLine="480" w:firstLineChars="200"/>
        <w:jc w:val="left"/>
        <w:rPr>
          <w:rFonts w:hint="eastAsia" w:ascii="宋体" w:hAnsi="宋体" w:eastAsia="宋体" w:cs="宋体"/>
          <w:b w:val="0"/>
          <w:i w:val="0"/>
          <w:strike w:val="0"/>
          <w:color w:val="auto"/>
          <w:sz w:val="24"/>
          <w:u w:val="none"/>
        </w:rPr>
      </w:pPr>
      <w:r>
        <w:rPr>
          <w:rFonts w:hint="eastAsia" w:ascii="宋体" w:hAnsi="宋体" w:eastAsia="宋体" w:cs="宋体"/>
          <w:b w:val="0"/>
          <w:i w:val="0"/>
          <w:strike w:val="0"/>
          <w:color w:val="auto"/>
          <w:sz w:val="24"/>
          <w:u w:val="none"/>
          <w:lang w:val="en-US" w:eastAsia="zh-CN"/>
        </w:rPr>
        <w:t>4</w:t>
      </w:r>
      <w:r>
        <w:rPr>
          <w:rFonts w:hint="eastAsia" w:ascii="宋体" w:hAnsi="宋体" w:eastAsia="宋体" w:cs="宋体"/>
          <w:b w:val="0"/>
          <w:i w:val="0"/>
          <w:strike w:val="0"/>
          <w:color w:val="auto"/>
          <w:sz w:val="24"/>
          <w:u w:val="none"/>
        </w:rPr>
        <w:t>.广西全民健康信息平台的数据接口还包含政策文件：《广西全民健康信息平台数据元值域代码》、《广西全民健康信息平台-检查检验结果互认系统数据编码标准规范》、《广西全民健康信息平台-预约挂号人员就诊数据共享方案(数据推送)》、《广西全民健康信息平台检查检验结果互认对接方案》。根据</w:t>
      </w:r>
      <w:r>
        <w:rPr>
          <w:rFonts w:hint="eastAsia" w:ascii="宋体" w:hAnsi="宋体" w:eastAsia="宋体" w:cs="宋体"/>
          <w:b w:val="0"/>
          <w:i w:val="0"/>
          <w:strike w:val="0"/>
          <w:color w:val="auto"/>
          <w:sz w:val="24"/>
          <w:u w:val="none"/>
          <w:lang w:val="en-US" w:eastAsia="zh-CN"/>
        </w:rPr>
        <w:t>以下表格内容</w:t>
      </w:r>
      <w:r>
        <w:rPr>
          <w:rFonts w:hint="eastAsia" w:ascii="宋体" w:hAnsi="宋体" w:eastAsia="宋体" w:cs="宋体"/>
          <w:b w:val="0"/>
          <w:i w:val="0"/>
          <w:strike w:val="0"/>
          <w:color w:val="auto"/>
          <w:sz w:val="24"/>
          <w:u w:val="none"/>
        </w:rPr>
        <w:t>要求</w:t>
      </w:r>
      <w:r>
        <w:rPr>
          <w:rFonts w:hint="eastAsia" w:ascii="宋体" w:hAnsi="宋体" w:eastAsia="宋体" w:cs="宋体"/>
          <w:b w:val="0"/>
          <w:i w:val="0"/>
          <w:strike w:val="0"/>
          <w:color w:val="auto"/>
          <w:sz w:val="24"/>
          <w:u w:val="none"/>
          <w:lang w:val="en-US" w:eastAsia="zh-CN"/>
        </w:rPr>
        <w:t>配合</w:t>
      </w:r>
      <w:r>
        <w:rPr>
          <w:rFonts w:hint="eastAsia" w:ascii="宋体" w:hAnsi="宋体" w:eastAsia="宋体" w:cs="宋体"/>
          <w:b w:val="0"/>
          <w:i w:val="0"/>
          <w:strike w:val="0"/>
          <w:color w:val="auto"/>
          <w:sz w:val="24"/>
          <w:u w:val="none"/>
        </w:rPr>
        <w:t>完成工作任务。</w:t>
      </w:r>
    </w:p>
    <w:tbl>
      <w:tblPr>
        <w:tblStyle w:val="3"/>
        <w:tblW w:w="86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32" w:type="dxa"/>
          <w:left w:w="64" w:type="dxa"/>
          <w:bottom w:w="32" w:type="dxa"/>
          <w:right w:w="64" w:type="dxa"/>
        </w:tblCellMar>
      </w:tblPr>
      <w:tblGrid>
        <w:gridCol w:w="984"/>
        <w:gridCol w:w="3076"/>
        <w:gridCol w:w="1128"/>
        <w:gridCol w:w="1918"/>
        <w:gridCol w:w="1568"/>
      </w:tblGrid>
      <w:tr w14:paraId="479E9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6237996">
            <w:pPr>
              <w:keepNext/>
              <w:keepLines w:val="0"/>
              <w:widowControl/>
              <w:suppressLineNumbers w:val="0"/>
              <w:snapToGrid w:val="0"/>
              <w:spacing w:line="375" w:lineRule="atLeast"/>
              <w:jc w:val="center"/>
              <w:rPr>
                <w:rFonts w:hint="default" w:ascii="Segoe UI" w:hAnsi="Segoe UI" w:eastAsia="Segoe UI" w:cs="Segoe UI"/>
                <w:b/>
                <w:i w:val="0"/>
                <w:iCs w:val="0"/>
                <w:caps w:val="0"/>
                <w:color w:val="0F1115"/>
                <w:spacing w:val="0"/>
                <w:sz w:val="22"/>
                <w:szCs w:val="22"/>
              </w:rPr>
            </w:pPr>
            <w:r>
              <w:rPr>
                <w:rFonts w:hint="eastAsia" w:ascii="Segoe UI" w:hAnsi="Segoe UI" w:eastAsia="Segoe UI" w:cs="Segoe UI"/>
                <w:b/>
                <w:i w:val="0"/>
                <w:iCs w:val="0"/>
                <w:caps w:val="0"/>
                <w:color w:val="0F1115"/>
                <w:spacing w:val="0"/>
                <w:kern w:val="0"/>
                <w:sz w:val="22"/>
                <w:szCs w:val="22"/>
                <w:lang w:val="en-US" w:eastAsia="zh-CN" w:bidi="ar"/>
              </w:rPr>
              <w:t>内容</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3F4762B0">
            <w:pPr>
              <w:keepNext/>
              <w:keepLines w:val="0"/>
              <w:widowControl/>
              <w:suppressLineNumbers w:val="0"/>
              <w:snapToGrid w:val="0"/>
              <w:spacing w:line="375" w:lineRule="atLeast"/>
              <w:jc w:val="center"/>
              <w:rPr>
                <w:rFonts w:hint="default" w:ascii="Segoe UI" w:hAnsi="Segoe UI" w:eastAsia="Segoe UI" w:cs="Segoe UI"/>
                <w:b/>
                <w:i w:val="0"/>
                <w:iCs w:val="0"/>
                <w:caps w:val="0"/>
                <w:color w:val="0F1115"/>
                <w:spacing w:val="0"/>
                <w:sz w:val="22"/>
                <w:szCs w:val="22"/>
              </w:rPr>
            </w:pPr>
            <w:r>
              <w:rPr>
                <w:rFonts w:hint="eastAsia" w:ascii="Segoe UI" w:hAnsi="Segoe UI" w:eastAsia="Segoe UI" w:cs="Segoe UI"/>
                <w:b/>
                <w:i w:val="0"/>
                <w:iCs w:val="0"/>
                <w:caps w:val="0"/>
                <w:color w:val="0F1115"/>
                <w:spacing w:val="0"/>
                <w:kern w:val="0"/>
                <w:sz w:val="22"/>
                <w:szCs w:val="22"/>
                <w:lang w:val="en-US" w:eastAsia="zh-CN" w:bidi="ar"/>
              </w:rPr>
              <w:t>具体工作</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723C0C7D">
            <w:pPr>
              <w:keepNext/>
              <w:keepLines w:val="0"/>
              <w:widowControl/>
              <w:suppressLineNumbers w:val="0"/>
              <w:snapToGrid w:val="0"/>
              <w:spacing w:line="375" w:lineRule="atLeast"/>
              <w:jc w:val="center"/>
              <w:rPr>
                <w:rFonts w:hint="default" w:ascii="Segoe UI" w:hAnsi="Segoe UI" w:eastAsia="Segoe UI" w:cs="Segoe UI"/>
                <w:b/>
                <w:i w:val="0"/>
                <w:iCs w:val="0"/>
                <w:caps w:val="0"/>
                <w:color w:val="0F1115"/>
                <w:spacing w:val="0"/>
                <w:sz w:val="22"/>
                <w:szCs w:val="22"/>
              </w:rPr>
            </w:pPr>
            <w:r>
              <w:rPr>
                <w:rFonts w:hint="eastAsia" w:ascii="Segoe UI" w:hAnsi="Segoe UI" w:eastAsia="Segoe UI" w:cs="Segoe UI"/>
                <w:b/>
                <w:i w:val="0"/>
                <w:iCs w:val="0"/>
                <w:caps w:val="0"/>
                <w:color w:val="0F1115"/>
                <w:spacing w:val="0"/>
                <w:kern w:val="0"/>
                <w:sz w:val="22"/>
                <w:szCs w:val="22"/>
                <w:lang w:val="en-US" w:eastAsia="zh-CN" w:bidi="ar"/>
              </w:rPr>
              <w:t>预计耗时</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62FEAEF6">
            <w:pPr>
              <w:keepNext/>
              <w:keepLines w:val="0"/>
              <w:widowControl/>
              <w:suppressLineNumbers w:val="0"/>
              <w:snapToGrid w:val="0"/>
              <w:spacing w:line="375" w:lineRule="atLeast"/>
              <w:jc w:val="center"/>
              <w:rPr>
                <w:rFonts w:hint="default" w:ascii="Segoe UI" w:hAnsi="Segoe UI" w:eastAsia="Segoe UI" w:cs="Segoe UI"/>
                <w:b/>
                <w:i w:val="0"/>
                <w:iCs w:val="0"/>
                <w:caps w:val="0"/>
                <w:color w:val="0F1115"/>
                <w:spacing w:val="0"/>
                <w:sz w:val="22"/>
                <w:szCs w:val="22"/>
              </w:rPr>
            </w:pPr>
            <w:r>
              <w:rPr>
                <w:rFonts w:hint="eastAsia" w:ascii="Segoe UI" w:hAnsi="Segoe UI" w:eastAsia="Segoe UI" w:cs="Segoe UI"/>
                <w:b/>
                <w:i w:val="0"/>
                <w:iCs w:val="0"/>
                <w:caps w:val="0"/>
                <w:color w:val="0F1115"/>
                <w:spacing w:val="0"/>
                <w:kern w:val="0"/>
                <w:sz w:val="22"/>
                <w:szCs w:val="22"/>
                <w:lang w:val="en-US" w:eastAsia="zh-CN" w:bidi="ar"/>
              </w:rPr>
              <w:t>对应技术文件</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4548A87A">
            <w:pPr>
              <w:keepNext/>
              <w:keepLines w:val="0"/>
              <w:widowControl/>
              <w:suppressLineNumbers w:val="0"/>
              <w:snapToGrid w:val="0"/>
              <w:spacing w:line="375" w:lineRule="atLeast"/>
              <w:jc w:val="center"/>
              <w:rPr>
                <w:rFonts w:hint="default" w:ascii="Segoe UI" w:hAnsi="Segoe UI" w:eastAsia="Segoe UI" w:cs="Segoe UI"/>
                <w:b/>
                <w:i w:val="0"/>
                <w:iCs w:val="0"/>
                <w:caps w:val="0"/>
                <w:color w:val="0F1115"/>
                <w:spacing w:val="0"/>
                <w:sz w:val="22"/>
                <w:szCs w:val="22"/>
              </w:rPr>
            </w:pPr>
            <w:r>
              <w:rPr>
                <w:rFonts w:hint="eastAsia" w:ascii="Segoe UI" w:hAnsi="Segoe UI" w:eastAsia="Segoe UI" w:cs="Segoe UI"/>
                <w:b/>
                <w:i w:val="0"/>
                <w:iCs w:val="0"/>
                <w:caps w:val="0"/>
                <w:color w:val="0F1115"/>
                <w:spacing w:val="0"/>
                <w:kern w:val="0"/>
                <w:sz w:val="22"/>
                <w:szCs w:val="22"/>
                <w:lang w:val="en-US" w:eastAsia="zh-CN" w:bidi="ar"/>
              </w:rPr>
              <w:t>计划完成时间</w:t>
            </w:r>
          </w:p>
        </w:tc>
      </w:tr>
      <w:tr w14:paraId="42A03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237609A">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数据采集上传程序开发</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482E979A">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根据数据采集标准规范进行数据接口开发。目前采集的内容为：</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1、核心医疗数据：27张表</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2、门(急)诊病案首页：4张表</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3、医院体检记录：3张表。</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56394FD5">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30天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26E7C849">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附件7：《广西全民健康信息平台数据采集规范-医疗信息数据分册》</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0C2FE586">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10月10日前</w:t>
            </w:r>
          </w:p>
        </w:tc>
      </w:tr>
      <w:tr w14:paraId="72623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15E080E">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数据对码</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364E82E9">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按照《广西全民健康信息平台数据采集规范》及相关文档《广西全民健康信息平台数据元值域代码》《广西全民健康信息平台检查检验结果互认（数据编码标准规范）》完成字典（编码）对照。</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1E0A5396">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3CF3E56F">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附件9：《广西全民健康信息平台数据元值域代码V2.0》</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附件10：《广西全民健康信息平台检查检验结果互认（数据编码标准规范）》</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附件7-1：健康体检监督管理系统-体检项目采集指标（体检中心审定版）</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4E93C384">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10月10日前</w:t>
            </w:r>
          </w:p>
        </w:tc>
      </w:tr>
      <w:tr w14:paraId="18E54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1F1F226">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测试数据上传</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0E3B6536">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1、机构完成测试数据准备、上传联调测试后，按测试要求上传测试数据至前置机，完成前置机规则调整，同步正确库。</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2、广西全民平台将测试数据收取至平台。</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3C067AB3">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15天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1DE17985">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数据参考《附件11-上传数据用例》</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6BB727FC">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10月10日前</w:t>
            </w:r>
          </w:p>
        </w:tc>
      </w:tr>
      <w:tr w14:paraId="4F3A8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6B18821">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测试数据质量控制</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026477E6">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1、广西全民平台将对抽取的数据进行平台质控，形成质控报告。</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2、在测试环境上申请【质量控制系统】权限查看质控报告。</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634DE0FD">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2天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5CDA1BE5">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质量控制系统操作手册</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6F21E43E">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10月12日前</w:t>
            </w:r>
          </w:p>
        </w:tc>
      </w:tr>
      <w:tr w14:paraId="44047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07FE817">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问题整改</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68413DBB">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1、机构根据质控报告完成问题整改。</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2、机构根据平台反馈的应用验证情况整理问题文档完成整改。</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3、重新上传整改后的测试数据至前置机，完成前置机规则校验，同步数据库。</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21497F46">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15天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279CB3D2">
            <w:pPr>
              <w:keepNext/>
              <w:snapToGrid w:val="0"/>
              <w:jc w:val="left"/>
              <w:rPr>
                <w:rFonts w:hint="default" w:ascii="Segoe UI" w:hAnsi="Segoe UI" w:eastAsia="Segoe UI" w:cs="Segoe UI"/>
                <w:i w:val="0"/>
                <w:iCs w:val="0"/>
                <w:caps w:val="0"/>
                <w:color w:val="0F1115"/>
                <w:spacing w:val="0"/>
                <w:sz w:val="22"/>
                <w:szCs w:val="22"/>
              </w:rPr>
            </w:pP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25530F6E">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10月20日前</w:t>
            </w:r>
          </w:p>
        </w:tc>
      </w:tr>
      <w:tr w14:paraId="353B9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E062575">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数据准备与正式上传</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4C1F0BA7">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1、机构在通过平台质控后，准备近6个的数据上传前置机，开启每日增量任务。</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2、平台抽取数据入正式数据，并开启每日定时抽取任务。</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3、12月前机构准备2025年未传数据，联系平台方开启历史数据上传任务。</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4、2026年起机构按照倒数准备2020-2024年历史数据，按每批次1个月上传历史数据。</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2966EBE8">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15天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364349D6">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数据参考《附件11-上传数据用例》</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0059649F">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10月30日前</w:t>
            </w:r>
          </w:p>
        </w:tc>
      </w:tr>
      <w:tr w14:paraId="7C02A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F73C250">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申请接口对接</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272B18CE">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在工单系统上申请所需对接接口的动态多解码机（appkey，appsecret）、互认按钮（sm4密钥、sign密钥）</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41358143">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3天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5259F47F">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附件1-2试点机构接入工单系统操作手册.pdf</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2ACB3D19">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10月10日前</w:t>
            </w:r>
          </w:p>
        </w:tc>
      </w:tr>
      <w:tr w14:paraId="05CC0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E8F043A">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（预约）挂号授权服务改造</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2CF89A21">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1、医院（预约）挂号/住院系统改造，增加授权功能；</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2、授权接口对接（门诊、住院）；</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3、取消授权接口对接（门诊、住院）。</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7C60772A">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15天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34F774A6">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附件13：《广西全民健康信息平台-预约挂号人员就诊数据共享方案(数据推送)》</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68946E9C">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10月30日前</w:t>
            </w:r>
          </w:p>
        </w:tc>
      </w:tr>
      <w:tr w14:paraId="594FE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DCF651D">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数据回推与核验</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557C00BD">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1、共享数据推送到医院；广西全民健康信息平台将已授权的患者数据推送到医院前置机</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2、对平台推送的数据进行核验；医院对广西全民健康信息平台推广到前置机的数据进行质量核验。</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2A558D76">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7天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1E074AF3">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接口调用时，需要用到的机构代码在《附件14：广西壮族自治区医疗机构及区县行政区划代码(统计用)V2》</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5D1A12FD">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根据接入方案求开展</w:t>
            </w:r>
          </w:p>
        </w:tc>
      </w:tr>
      <w:tr w14:paraId="149DF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59A5F90">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外院数据展示</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397BCF18">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院内数据应用：结合本院需求与习惯，在HIS系统或其他应用中完成功能建设，实现医生接诊时可明确识别患者有外院数据且能查看。</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521B2D39">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20天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57B892F1">
            <w:pPr>
              <w:keepNext/>
              <w:snapToGrid w:val="0"/>
              <w:jc w:val="left"/>
              <w:rPr>
                <w:rFonts w:hint="default" w:ascii="Segoe UI" w:hAnsi="Segoe UI" w:eastAsia="Segoe UI" w:cs="Segoe UI"/>
                <w:i w:val="0"/>
                <w:iCs w:val="0"/>
                <w:caps w:val="0"/>
                <w:color w:val="0F1115"/>
                <w:spacing w:val="0"/>
                <w:sz w:val="22"/>
                <w:szCs w:val="22"/>
              </w:rPr>
            </w:pP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6A12EE8A">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根据接入方案求开展</w:t>
            </w:r>
          </w:p>
        </w:tc>
      </w:tr>
      <w:tr w14:paraId="1CF0F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D74625E">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检查检验结果跨院调阅改造（二选一）</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337EF1BB">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方式一：集成自治区互认平台提醒客户端</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医院选择集成客户端插件或者客户端页面进行互认，对接报告引用接口实现互认报告引用</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方式二：医院自行开发提醒客户端；与自治区互认平台对接</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基于平台推送到前置机的数据和上传接口，医院开发可引用报告数据的客户端程序</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67687F43">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5-10天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6FCD5B45">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附件15：《广西全民健康信息平台检查检验结果互认对接方案V2.1》</w:t>
            </w: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5E655CC0">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11月30日前</w:t>
            </w:r>
          </w:p>
        </w:tc>
      </w:tr>
      <w:tr w14:paraId="379AE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A477E8A">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切换上线</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5B2EA9FE">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切换至正式环境，正式启用预约挂号授权、检查检验结果跨院调阅、外院数据展示等应用。</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说明：开启数据回推前，需核验接入机构应用系统（HIS等）的三级等级测评材料、签署相关协议。</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6D872640">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5天</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696B9672">
            <w:pPr>
              <w:keepNext/>
              <w:snapToGrid w:val="0"/>
              <w:jc w:val="left"/>
              <w:rPr>
                <w:rFonts w:hint="default" w:ascii="Segoe UI" w:hAnsi="Segoe UI" w:eastAsia="Segoe UI" w:cs="Segoe UI"/>
                <w:i w:val="0"/>
                <w:iCs w:val="0"/>
                <w:caps w:val="0"/>
                <w:color w:val="0F1115"/>
                <w:spacing w:val="0"/>
                <w:sz w:val="22"/>
                <w:szCs w:val="22"/>
              </w:rPr>
            </w:pP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606D6FE9">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持续进行</w:t>
            </w:r>
          </w:p>
        </w:tc>
      </w:tr>
      <w:tr w14:paraId="36861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32" w:type="dxa"/>
            <w:left w:w="64" w:type="dxa"/>
            <w:bottom w:w="32" w:type="dxa"/>
            <w:right w:w="64" w:type="dxa"/>
          </w:tblCellMar>
        </w:tblPrEx>
        <w:trPr>
          <w:trHeight w:val="0" w:hRule="atLeast"/>
          <w:jc w:val="center"/>
        </w:trPr>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F4D5A1">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数据做好分级分类管理，定期删除</w:t>
            </w:r>
          </w:p>
        </w:tc>
        <w:tc>
          <w:tcPr>
            <w:tcW w:w="3076" w:type="dxa"/>
            <w:tcBorders>
              <w:top w:val="single" w:color="auto" w:sz="4" w:space="0"/>
              <w:left w:val="single" w:color="auto" w:sz="4" w:space="0"/>
              <w:bottom w:val="single" w:color="auto" w:sz="4" w:space="0"/>
              <w:right w:val="single" w:color="auto" w:sz="4" w:space="0"/>
            </w:tcBorders>
            <w:shd w:val="clear" w:color="auto" w:fill="FFFFFF"/>
            <w:vAlign w:val="center"/>
          </w:tcPr>
          <w:p w14:paraId="6929D8C4">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1、从前置机共享库同步的数据，务必做好分类分级管理，做好数据访问控制防止数据泄露或者被非法使用。</w:t>
            </w:r>
            <w:r>
              <w:rPr>
                <w:rFonts w:hint="default" w:ascii="Segoe UI" w:hAnsi="Segoe UI" w:eastAsia="Segoe UI" w:cs="Segoe UI"/>
                <w:i w:val="0"/>
                <w:iCs w:val="0"/>
                <w:caps w:val="0"/>
                <w:color w:val="0F1115"/>
                <w:spacing w:val="0"/>
                <w:kern w:val="0"/>
                <w:sz w:val="22"/>
                <w:szCs w:val="22"/>
                <w:lang w:val="en-US" w:eastAsia="zh-CN" w:bidi="ar"/>
              </w:rPr>
              <w:br w:type="textWrapping"/>
            </w:r>
            <w:r>
              <w:rPr>
                <w:rFonts w:hint="default" w:ascii="Segoe UI" w:hAnsi="Segoe UI" w:eastAsia="Segoe UI" w:cs="Segoe UI"/>
                <w:i w:val="0"/>
                <w:iCs w:val="0"/>
                <w:caps w:val="0"/>
                <w:color w:val="0F1115"/>
                <w:spacing w:val="0"/>
                <w:kern w:val="0"/>
                <w:sz w:val="22"/>
                <w:szCs w:val="22"/>
                <w:lang w:val="en-US" w:eastAsia="zh-CN" w:bidi="ar"/>
              </w:rPr>
              <w:t>2、按照存储要求在患者就医完成后，定期将同步缓存的患者数据进行删除。</w:t>
            </w:r>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334F52C3">
            <w:pPr>
              <w:keepNext/>
              <w:keepLines w:val="0"/>
              <w:widowControl/>
              <w:suppressLineNumbers w:val="0"/>
              <w:snapToGrid w:val="0"/>
              <w:spacing w:line="375" w:lineRule="atLeast"/>
              <w:jc w:val="center"/>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w:t>
            </w:r>
          </w:p>
        </w:tc>
        <w:tc>
          <w:tcPr>
            <w:tcW w:w="1918" w:type="dxa"/>
            <w:tcBorders>
              <w:top w:val="single" w:color="auto" w:sz="4" w:space="0"/>
              <w:left w:val="single" w:color="auto" w:sz="4" w:space="0"/>
              <w:bottom w:val="single" w:color="auto" w:sz="4" w:space="0"/>
              <w:right w:val="single" w:color="auto" w:sz="4" w:space="0"/>
            </w:tcBorders>
            <w:shd w:val="clear" w:color="auto" w:fill="FFFFFF"/>
            <w:vAlign w:val="center"/>
          </w:tcPr>
          <w:p w14:paraId="430AB66C">
            <w:pPr>
              <w:keepNext/>
              <w:snapToGrid w:val="0"/>
              <w:jc w:val="left"/>
              <w:rPr>
                <w:rFonts w:hint="default" w:ascii="Segoe UI" w:hAnsi="Segoe UI" w:eastAsia="Segoe UI" w:cs="Segoe UI"/>
                <w:i w:val="0"/>
                <w:iCs w:val="0"/>
                <w:caps w:val="0"/>
                <w:color w:val="0F1115"/>
                <w:spacing w:val="0"/>
                <w:sz w:val="22"/>
                <w:szCs w:val="22"/>
              </w:rPr>
            </w:pPr>
          </w:p>
        </w:tc>
        <w:tc>
          <w:tcPr>
            <w:tcW w:w="1568" w:type="dxa"/>
            <w:tcBorders>
              <w:top w:val="single" w:color="auto" w:sz="4" w:space="0"/>
              <w:left w:val="single" w:color="auto" w:sz="4" w:space="0"/>
              <w:bottom w:val="single" w:color="auto" w:sz="4" w:space="0"/>
              <w:right w:val="single" w:color="auto" w:sz="4" w:space="0"/>
            </w:tcBorders>
            <w:shd w:val="clear" w:color="auto" w:fill="FFFFFF"/>
            <w:vAlign w:val="center"/>
          </w:tcPr>
          <w:p w14:paraId="170DF69A">
            <w:pPr>
              <w:keepNext/>
              <w:keepLines w:val="0"/>
              <w:widowControl/>
              <w:suppressLineNumbers w:val="0"/>
              <w:snapToGrid w:val="0"/>
              <w:spacing w:line="375" w:lineRule="atLeast"/>
              <w:jc w:val="left"/>
              <w:rPr>
                <w:rFonts w:hint="default" w:ascii="Segoe UI" w:hAnsi="Segoe UI" w:eastAsia="Segoe UI" w:cs="Segoe UI"/>
                <w:i w:val="0"/>
                <w:iCs w:val="0"/>
                <w:caps w:val="0"/>
                <w:color w:val="0F1115"/>
                <w:spacing w:val="0"/>
                <w:sz w:val="22"/>
                <w:szCs w:val="22"/>
              </w:rPr>
            </w:pPr>
            <w:r>
              <w:rPr>
                <w:rFonts w:hint="default" w:ascii="Segoe UI" w:hAnsi="Segoe UI" w:eastAsia="Segoe UI" w:cs="Segoe UI"/>
                <w:i w:val="0"/>
                <w:iCs w:val="0"/>
                <w:caps w:val="0"/>
                <w:color w:val="0F1115"/>
                <w:spacing w:val="0"/>
                <w:kern w:val="0"/>
                <w:sz w:val="22"/>
                <w:szCs w:val="22"/>
                <w:lang w:val="en-US" w:eastAsia="zh-CN" w:bidi="ar"/>
              </w:rPr>
              <w:t>持续进行</w:t>
            </w:r>
          </w:p>
        </w:tc>
      </w:tr>
    </w:tbl>
    <w:p w14:paraId="1C9CE270">
      <w:pPr>
        <w:spacing w:after="120" w:line="360" w:lineRule="auto"/>
        <w:jc w:val="left"/>
        <w:rPr>
          <w:rFonts w:hint="eastAsia" w:ascii="宋体" w:hAnsi="宋体" w:eastAsia="宋体" w:cs="宋体"/>
          <w:b w:val="0"/>
          <w:i w:val="0"/>
          <w:strike w:val="0"/>
          <w:color w:val="auto"/>
          <w:sz w:val="24"/>
          <w:u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14A46"/>
    <w:rsid w:val="021F6013"/>
    <w:rsid w:val="03C70711"/>
    <w:rsid w:val="06E4782C"/>
    <w:rsid w:val="07AC659B"/>
    <w:rsid w:val="09431495"/>
    <w:rsid w:val="0AA55524"/>
    <w:rsid w:val="0D7C6A10"/>
    <w:rsid w:val="0EBC4BEA"/>
    <w:rsid w:val="0FDC3796"/>
    <w:rsid w:val="15C70A44"/>
    <w:rsid w:val="15DF4CCA"/>
    <w:rsid w:val="16461969"/>
    <w:rsid w:val="16DA6555"/>
    <w:rsid w:val="19F65454"/>
    <w:rsid w:val="1B740D26"/>
    <w:rsid w:val="1F3D58D3"/>
    <w:rsid w:val="1FC16A33"/>
    <w:rsid w:val="213F5933"/>
    <w:rsid w:val="22C407E5"/>
    <w:rsid w:val="233B037C"/>
    <w:rsid w:val="26257624"/>
    <w:rsid w:val="27157103"/>
    <w:rsid w:val="272679F2"/>
    <w:rsid w:val="27DC037F"/>
    <w:rsid w:val="2ACD3FAF"/>
    <w:rsid w:val="2C4958B7"/>
    <w:rsid w:val="2FD23E16"/>
    <w:rsid w:val="364C4922"/>
    <w:rsid w:val="37781747"/>
    <w:rsid w:val="37F3200A"/>
    <w:rsid w:val="38404012"/>
    <w:rsid w:val="3A937A66"/>
    <w:rsid w:val="3FBE7F13"/>
    <w:rsid w:val="40DC4AF4"/>
    <w:rsid w:val="41562AF9"/>
    <w:rsid w:val="41D028AB"/>
    <w:rsid w:val="42C27D1A"/>
    <w:rsid w:val="43320BC1"/>
    <w:rsid w:val="44AE67A8"/>
    <w:rsid w:val="45486BFC"/>
    <w:rsid w:val="45514A46"/>
    <w:rsid w:val="47787CE4"/>
    <w:rsid w:val="54C53DC5"/>
    <w:rsid w:val="5F4C0C3F"/>
    <w:rsid w:val="613B0F6B"/>
    <w:rsid w:val="66552ACF"/>
    <w:rsid w:val="6C6121CE"/>
    <w:rsid w:val="736425A4"/>
    <w:rsid w:val="74C27582"/>
    <w:rsid w:val="7516167C"/>
    <w:rsid w:val="764D731F"/>
    <w:rsid w:val="76CC0B8C"/>
    <w:rsid w:val="77F2017E"/>
    <w:rsid w:val="7E795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2317</Words>
  <Characters>2426</Characters>
  <Lines>0</Lines>
  <Paragraphs>0</Paragraphs>
  <TotalTime>1</TotalTime>
  <ScaleCrop>false</ScaleCrop>
  <LinksUpToDate>false</LinksUpToDate>
  <CharactersWithSpaces>2430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2025-09-08T09:27:00Z</dcterms:created>
  <dc:creator>陈基勇</dc:creator>
  <cp:lastModifiedBy>陈基勇</cp:lastModifiedBy>
  <dcterms:modified xsi:type="dcterms:W3CDTF">2025-09-08T09:48:28Z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39891838401240D994BCA17A2F2EB00A_11</vt:lpwstr>
  </property>
  <property fmtid="{D5CDD505-2E9C-101B-9397-08002B2CF9AE}" pid="4" name="KSOTemplateDocerSaveRecord">
    <vt:lpwstr>eyJoZGlkIjoiYTgyNzdhODY1MTI0NDI4MGE1YmJkNDA4YTA5NzcxYTciLCJ1c2VySWQiOiI2NDYwMjI3In0=</vt:lpwstr>
  </property>
</Properties>
</file>